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0F" w:rsidRPr="00693A0F" w:rsidRDefault="00693A0F" w:rsidP="00693A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Утверждена </w:t>
      </w:r>
    </w:p>
    <w:p w:rsidR="00693A0F" w:rsidRPr="00693A0F" w:rsidRDefault="00693A0F" w:rsidP="00693A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693A0F" w:rsidRPr="00693A0F" w:rsidRDefault="00693A0F" w:rsidP="00693A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693A0F" w:rsidRPr="00693A0F" w:rsidRDefault="00693A0F" w:rsidP="00693A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Московской области   </w:t>
      </w:r>
    </w:p>
    <w:p w:rsidR="00693A0F" w:rsidRPr="00693A0F" w:rsidRDefault="00693A0F" w:rsidP="00693A0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от 28.12.2018 № 5166-ПА </w:t>
      </w:r>
    </w:p>
    <w:p w:rsidR="00693A0F" w:rsidRPr="00693A0F" w:rsidRDefault="00693A0F" w:rsidP="00693A0F">
      <w:pPr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Муниципальная программа</w:t>
      </w:r>
    </w:p>
    <w:p w:rsidR="00693A0F" w:rsidRPr="00693A0F" w:rsidRDefault="00693A0F" w:rsidP="00693A0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«Инвестиции городского округа Люберцы Московской области»</w:t>
      </w: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Паспорт муниципальной программы «Инвестиции городского округа Люберцы Московской области»</w:t>
      </w: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4828" w:type="pct"/>
        <w:tblInd w:w="642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73"/>
        <w:gridCol w:w="1238"/>
        <w:gridCol w:w="1563"/>
        <w:gridCol w:w="1557"/>
        <w:gridCol w:w="1845"/>
        <w:gridCol w:w="1701"/>
        <w:gridCol w:w="1128"/>
      </w:tblGrid>
      <w:tr w:rsidR="00693A0F" w:rsidRPr="00693A0F" w:rsidTr="00693A0F">
        <w:trPr>
          <w:trHeight w:val="509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Par288"/>
            <w:bookmarkEnd w:id="0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      </w:r>
          </w:p>
        </w:tc>
      </w:tr>
      <w:tr w:rsidR="00693A0F" w:rsidRPr="00693A0F" w:rsidTr="00693A0F">
        <w:trPr>
          <w:trHeight w:val="509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1.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Pr="00693A0F">
              <w:rPr>
                <w:rFonts w:ascii="Arial" w:eastAsia="Times New Roman" w:hAnsi="Arial" w:cs="Arial"/>
                <w:sz w:val="24"/>
                <w:szCs w:val="24"/>
              </w:rPr>
              <w:br/>
              <w:t>2. Развитие механизмов реализации единой государственной инвестиционной  политики на территории городского округа Люберцы.</w:t>
            </w:r>
            <w:r w:rsidRPr="00693A0F">
              <w:rPr>
                <w:rFonts w:ascii="Arial" w:eastAsia="Times New Roman" w:hAnsi="Arial" w:cs="Arial"/>
                <w:sz w:val="24"/>
                <w:szCs w:val="24"/>
              </w:rPr>
              <w:br/>
              <w:t>3. Предотвращение роста напряженности на рынке труда.</w:t>
            </w:r>
          </w:p>
        </w:tc>
      </w:tr>
      <w:tr w:rsidR="00693A0F" w:rsidRPr="00693A0F" w:rsidTr="00693A0F">
        <w:trPr>
          <w:trHeight w:val="509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А.Н. Сыров Заместитель Главы администрации городского округа Люберцы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02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02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2018-2022гг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202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Инвестиции городского округа Люберцы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 xml:space="preserve">Источники финансирования муниципальной программы,  </w:t>
            </w:r>
            <w:r w:rsidRPr="00693A0F">
              <w:rPr>
                <w:rFonts w:ascii="Arial" w:eastAsia="Times New Roman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3202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693A0F" w:rsidRPr="00693A0F" w:rsidTr="00693A0F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93A0F" w:rsidRPr="00693A0F" w:rsidTr="00693A0F">
        <w:trPr>
          <w:trHeight w:val="433"/>
        </w:trPr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127 000,0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70 000,0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5700,0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Всего, в том числе по годам: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127000,0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70 000,0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57000,0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693A0F" w:rsidRPr="00693A0F" w:rsidTr="00693A0F">
        <w:trPr>
          <w:trHeight w:val="20"/>
        </w:trPr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1.Количество созданных рабочих мест, в 2022 году 1782 единицы.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2. Увеличение среднемесячной заработной платы работников организаций, не относящихся к субъектам малого предпринимательства</w:t>
            </w:r>
            <w:proofErr w:type="gramStart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 xml:space="preserve"> ,</w:t>
            </w:r>
            <w:proofErr w:type="gramEnd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 xml:space="preserve"> к 2022 году на 107,8%;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3.Зарплата бюджетников -  Достижение (поддержание) средней заработной платы работников социальной сферы в соответствии с майскими Указами Президента 2012 года, процент - 100%;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4.</w:t>
            </w:r>
            <w:r w:rsidRPr="00693A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Процент заполняемости индустриального парка к 2022 году 87,5 %;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5. Количество привлеченных резидентов индустриальных парков, технопарков, промышленных площадок к концу 2022 года до 15 единиц;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6. Количество резидентов индустриальных парков, технопарков, промышленных площадок начавших производство к концу 2022 года до 15 единиц;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7.Количество созданных новых индустриальных парков, технопарков, промышленных площадок к концу 2022 года до 2 единиц;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>8. Зарплата без долгов – Задолженность по выплате заработной платы (кол-во организаций, численность работников и сумма задолженности (рублей)). К 2022 году – 0 рублей.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 xml:space="preserve">9. Инвестируй в Подмосковье (Объем инвестиций, привлеченных в основной капитал (без учета бюджетных инвестиций и жилищного строительства), на душу населения  39,80 </w:t>
            </w:r>
            <w:proofErr w:type="spellStart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./чел.</w:t>
            </w:r>
          </w:p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693A0F">
              <w:rPr>
                <w:rFonts w:ascii="Arial" w:eastAsia="Times New Roman" w:hAnsi="Arial" w:cs="Arial"/>
                <w:sz w:val="24"/>
                <w:szCs w:val="24"/>
              </w:rPr>
              <w:t xml:space="preserve">10. Объем инвестиций, привлеченных в основной капитал по организациям не относящимся к субъектам малого предпринимательства (без учета бюджетных инвестиций) к 2022 году достигнет 13325,0  </w:t>
            </w:r>
            <w:proofErr w:type="spellStart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млн</w:t>
            </w:r>
            <w:proofErr w:type="gramStart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 w:rsidRPr="00693A0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693A0F" w:rsidRPr="00693A0F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693A0F" w:rsidRPr="00693A0F" w:rsidRDefault="00693A0F" w:rsidP="00693A0F">
      <w:pPr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  <w:sectPr w:rsidR="00693A0F" w:rsidRPr="00693A0F">
          <w:pgSz w:w="16838" w:h="11906" w:orient="landscape"/>
          <w:pgMar w:top="567" w:right="567" w:bottom="851" w:left="567" w:header="567" w:footer="567" w:gutter="1247"/>
          <w:cols w:space="720"/>
        </w:sectPr>
      </w:pP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693A0F" w:rsidRPr="00693A0F" w:rsidRDefault="00693A0F" w:rsidP="00693A0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16"/>
          <w:szCs w:val="16"/>
        </w:rPr>
      </w:pPr>
      <w:r w:rsidRPr="00693A0F">
        <w:rPr>
          <w:rFonts w:ascii="Arial" w:eastAsia="Times New Roman" w:hAnsi="Arial" w:cs="Arial"/>
          <w:sz w:val="16"/>
          <w:szCs w:val="16"/>
        </w:rPr>
        <w:t>Перечень мероприятий программы</w:t>
      </w: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16"/>
          <w:szCs w:val="16"/>
        </w:rPr>
      </w:pPr>
      <w:r w:rsidRPr="00693A0F">
        <w:rPr>
          <w:rFonts w:ascii="Arial" w:eastAsia="Times New Roman" w:hAnsi="Arial" w:cs="Arial"/>
          <w:sz w:val="16"/>
          <w:szCs w:val="16"/>
        </w:rPr>
        <w:t>«Инвестиции городского округа Люберцы Московской области»</w:t>
      </w:r>
    </w:p>
    <w:tbl>
      <w:tblPr>
        <w:tblW w:w="518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27"/>
        <w:gridCol w:w="1642"/>
        <w:gridCol w:w="2705"/>
        <w:gridCol w:w="1280"/>
        <w:gridCol w:w="1131"/>
        <w:gridCol w:w="989"/>
        <w:gridCol w:w="844"/>
        <w:gridCol w:w="1273"/>
        <w:gridCol w:w="1131"/>
        <w:gridCol w:w="989"/>
        <w:gridCol w:w="559"/>
        <w:gridCol w:w="582"/>
        <w:gridCol w:w="818"/>
        <w:gridCol w:w="1532"/>
        <w:gridCol w:w="58"/>
      </w:tblGrid>
      <w:tr w:rsidR="00F67B0C" w:rsidRPr="00693A0F" w:rsidTr="00F67B0C">
        <w:trPr>
          <w:trHeight w:val="154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мероприятия в 2017 году (предшествующему году начала реализации программы</w:t>
            </w:r>
            <w:proofErr w:type="gram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)(</w:t>
            </w:r>
            <w:proofErr w:type="gram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тыс. </w:t>
            </w:r>
            <w:proofErr w:type="spell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 w:rsidP="00F67B0C">
            <w:pPr>
              <w:spacing w:after="0" w:line="240" w:lineRule="auto"/>
              <w:ind w:left="-11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17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подпрограммы</w:t>
            </w:r>
          </w:p>
        </w:tc>
      </w:tr>
      <w:tr w:rsidR="00F67B0C" w:rsidRPr="00693A0F" w:rsidTr="00F67B0C">
        <w:trPr>
          <w:gridAfter w:val="1"/>
          <w:wAfter w:w="18" w:type="pct"/>
          <w:trHeight w:val="327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Текущий финансовый год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 w:rsidP="00693A0F">
            <w:pPr>
              <w:spacing w:after="0" w:line="240" w:lineRule="auto"/>
              <w:ind w:right="5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1.Продвижение инвестиционного потенциала городского округа Люберцы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sz w:val="16"/>
                <w:szCs w:val="16"/>
              </w:rPr>
              <w:t xml:space="preserve"> Увеличение объема инвестиций, привлеченных в основной капитал (без учета бюджетных инвестиций и жилищного строительства), на душу населения к 2022 году до 39,80тыс</w:t>
            </w:r>
            <w:proofErr w:type="gramStart"/>
            <w:r w:rsidRPr="00693A0F">
              <w:rPr>
                <w:rFonts w:ascii="Arial" w:eastAsia="Times New Roman" w:hAnsi="Arial" w:cs="Arial"/>
                <w:sz w:val="16"/>
                <w:szCs w:val="16"/>
              </w:rPr>
              <w:t>.р</w:t>
            </w:r>
            <w:proofErr w:type="gramEnd"/>
            <w:r w:rsidRPr="00693A0F">
              <w:rPr>
                <w:rFonts w:ascii="Arial" w:eastAsia="Times New Roman" w:hAnsi="Arial" w:cs="Arial"/>
                <w:sz w:val="16"/>
                <w:szCs w:val="16"/>
              </w:rPr>
              <w:t>уб.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740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127000,00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57000,00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9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127000,00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57000,00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1.1. Создание многопрофильных индустриальных парков, технологических парков, промышленных площадок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sz w:val="16"/>
                <w:szCs w:val="16"/>
              </w:rPr>
              <w:t>Количество привлеченных резидентов индустриальных парков, технопарков, промышленных площадок к концу 2022 года до 15 единиц.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127000,00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57000,00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9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127000,00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57000,00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1.2 Участие в </w:t>
            </w:r>
            <w:proofErr w:type="spell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выставочно</w:t>
            </w:r>
            <w:proofErr w:type="spell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-ярмарочных мероприятиях, форумах, направленных на повышение конкурентоспособности и инвестиционной привлекательности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Процент заполняемости индустриального парка к концу 2022 до 87,5%;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 Организация работы с возможными участниками для заключения соглашений об участии сторон государственного (муниципального</w:t>
            </w:r>
            <w:proofErr w:type="gram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)-</w:t>
            </w:r>
            <w:proofErr w:type="gram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частного партнерства в реализации инвестиционных проектов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sz w:val="16"/>
                <w:szCs w:val="16"/>
              </w:rPr>
              <w:t>Количество резидентов индустриальных парков, технопарков, промышленных площадок начавших производство</w:t>
            </w: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 концу 2022 года до 15 единиц;</w:t>
            </w:r>
          </w:p>
          <w:p w:rsidR="00693A0F" w:rsidRPr="00693A0F" w:rsidRDefault="00693A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Привлечение потенциальных инвесторов.</w:t>
            </w: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 Формирование реестра реализуемых инвестиционных проектов, программно-аппаратное обеспечение для мониторинга и администрирования инвестиционных контрактов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Управление предпринимательства и инвестиций администрации городского округа Люберцы Московской област</w:t>
            </w: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и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Количество созданных новых индустриальных парков, технопарков, промышленных площадок к концу 2022 года до 2 единиц.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2.Проведение мероприятий по увеличению рабочих мест на территории  муниципального образования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Количество созданных рабочих мест, в 2022 году 1782 единиц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2.1.Осуществление взаимодействия с потенциальными инвесторами и действующими организациями по созданию новых рабочих мест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Улучшение инвестиционного климата, привлечение потенциальных инвесторов;</w:t>
            </w:r>
          </w:p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среднемесячной заработной платы работников организаций, не относящихся к субъектам малого предпринимательства, к 2022 году на 107,8%;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2.2 Проведение мероприятий по информированию бизнес сообщества о мерах поддержки инвесторов при реализации инвестиционных проектов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sz w:val="16"/>
                <w:szCs w:val="16"/>
              </w:rPr>
              <w:t xml:space="preserve"> Увеличение объема инвестиций, привлеченных в основной капитал (без учета бюджетных инвестиций и жилищного строительства), на душу населения к 2022 году до 39,80тыс</w:t>
            </w:r>
            <w:proofErr w:type="gramStart"/>
            <w:r w:rsidRPr="00693A0F">
              <w:rPr>
                <w:rFonts w:ascii="Arial" w:eastAsia="Times New Roman" w:hAnsi="Arial" w:cs="Arial"/>
                <w:sz w:val="16"/>
                <w:szCs w:val="16"/>
              </w:rPr>
              <w:t>.р</w:t>
            </w:r>
            <w:proofErr w:type="gramEnd"/>
            <w:r w:rsidRPr="00693A0F">
              <w:rPr>
                <w:rFonts w:ascii="Arial" w:eastAsia="Times New Roman" w:hAnsi="Arial" w:cs="Arial"/>
                <w:sz w:val="16"/>
                <w:szCs w:val="16"/>
              </w:rPr>
              <w:t>уб.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3. Проведение мероприятий по </w:t>
            </w: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увеличению размера заработной платы на территории муниципального образования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</w:t>
            </w: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К 2022 году зарплата без </w:t>
            </w: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долгов. Задолженность по выплате заработной платы (кол-во организаций, численность работников и сумма задолженности) к 2022 году – 0руб.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3.1. Мониторинг динамики размера заработной платы  на действующих предприятиях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Улучшение качества жизни населения, достижение средней заработной платы в соответствии с майскими Указами Президента 2012 года; </w:t>
            </w:r>
          </w:p>
          <w:p w:rsidR="00693A0F" w:rsidRPr="00693A0F" w:rsidRDefault="00693A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sz w:val="16"/>
                <w:szCs w:val="16"/>
              </w:rPr>
              <w:t>Зарплата бюджетников к концу 2022 году 100%.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58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3.2 Содействие увеличению размера реальной заработной платы в соответствии с постановлением Правительства РФ от 30.11.2016 №118 в рамках трёхстороннего соглашения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Увеличение объема инвестиций, привлеченных в основной капитал по организациям не относящимся к субъектам малого предпринимательства (без учета бюджетных инвестиций) к 2022 году 13325,0 </w:t>
            </w:r>
            <w:proofErr w:type="spell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млн</w:t>
            </w:r>
            <w:proofErr w:type="gramStart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</w:t>
            </w:r>
            <w:proofErr w:type="spellEnd"/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487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3.3.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3.3 Проведение организационных мероприятий по увеличению заработной платы работников организаций и предприятий 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 2022 году зарплата без долгов. Задолженность по выплате заработной платы (кол-во организаций, численность работников и сумма задолженности) к 2022 году – 0руб.</w:t>
            </w:r>
          </w:p>
        </w:tc>
      </w:tr>
      <w:tr w:rsidR="00F67B0C" w:rsidRPr="00693A0F" w:rsidTr="00F67B0C">
        <w:trPr>
          <w:gridAfter w:val="1"/>
          <w:wAfter w:w="18" w:type="pct"/>
          <w:trHeight w:val="673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296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0,0 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sz w:val="16"/>
                <w:szCs w:val="16"/>
              </w:rPr>
              <w:t xml:space="preserve">ИТОГО ПО ПРОГРАММЕ 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01.01.2018 – 31.12.2022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127000,0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57000,00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hAnsi="Arial" w:cs="Arial"/>
                <w:sz w:val="16"/>
                <w:szCs w:val="16"/>
              </w:rPr>
              <w:t>Средства бюджета муниципального образования городской округ Люберцы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67B0C" w:rsidRPr="00693A0F" w:rsidTr="00F67B0C">
        <w:trPr>
          <w:gridAfter w:val="1"/>
          <w:wAfter w:w="18" w:type="pct"/>
          <w:trHeight w:val="172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127000,0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70000,00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57000,00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93A0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693A0F" w:rsidRDefault="00693A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16"/>
          <w:szCs w:val="16"/>
        </w:rPr>
      </w:pPr>
    </w:p>
    <w:p w:rsidR="00693A0F" w:rsidRPr="00693A0F" w:rsidRDefault="00693A0F" w:rsidP="00693A0F">
      <w:pPr>
        <w:spacing w:after="0" w:line="240" w:lineRule="auto"/>
        <w:rPr>
          <w:rFonts w:ascii="Arial" w:eastAsia="Times New Roman" w:hAnsi="Arial" w:cs="Arial"/>
          <w:sz w:val="16"/>
          <w:szCs w:val="16"/>
        </w:rPr>
        <w:sectPr w:rsidR="00693A0F" w:rsidRPr="00693A0F">
          <w:pgSz w:w="16838" w:h="11906" w:orient="landscape"/>
          <w:pgMar w:top="567" w:right="567" w:bottom="851" w:left="567" w:header="567" w:footer="567" w:gutter="340"/>
          <w:cols w:space="720"/>
        </w:sectPr>
      </w:pP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bookmarkStart w:id="1" w:name="P987"/>
      <w:bookmarkEnd w:id="1"/>
      <w:r w:rsidRPr="00693A0F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bookmarkStart w:id="2" w:name="Par389"/>
      <w:bookmarkEnd w:id="2"/>
      <w:r w:rsidRPr="00693A0F">
        <w:rPr>
          <w:rFonts w:ascii="Arial" w:eastAsia="Times New Roman" w:hAnsi="Arial" w:cs="Arial"/>
          <w:sz w:val="24"/>
          <w:szCs w:val="24"/>
        </w:rPr>
        <w:t>Планируемые результаты реализации муниципальной программы</w:t>
      </w: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«Инвестиции городского округа Люберцы Московской области»</w:t>
      </w:r>
    </w:p>
    <w:p w:rsidR="00693A0F" w:rsidRPr="00693A0F" w:rsidRDefault="00693A0F" w:rsidP="00693A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560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5"/>
        <w:gridCol w:w="2282"/>
        <w:gridCol w:w="1844"/>
        <w:gridCol w:w="1985"/>
        <w:gridCol w:w="1271"/>
        <w:gridCol w:w="975"/>
        <w:gridCol w:w="1115"/>
        <w:gridCol w:w="894"/>
        <w:gridCol w:w="850"/>
        <w:gridCol w:w="851"/>
        <w:gridCol w:w="850"/>
        <w:gridCol w:w="851"/>
        <w:gridCol w:w="1277"/>
      </w:tblGrid>
      <w:tr w:rsidR="00693A0F" w:rsidRPr="00F67B0C" w:rsidTr="00693A0F">
        <w:trPr>
          <w:trHeight w:val="49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 xml:space="preserve">№  </w:t>
            </w:r>
            <w:r w:rsidRPr="00F67B0C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gramStart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</w:t>
            </w:r>
            <w:proofErr w:type="gramEnd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/п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Задачи, направленные на достижение цели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Планируемые результаты реализации муниципальной программы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Тип показателя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Единица измерения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Базовое значение на начало реализации программы</w:t>
            </w:r>
          </w:p>
        </w:tc>
        <w:tc>
          <w:tcPr>
            <w:tcW w:w="4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Номер основного мероприятия в перечне мероприятий программы</w:t>
            </w:r>
          </w:p>
        </w:tc>
      </w:tr>
      <w:tr w:rsidR="00693A0F" w:rsidRPr="00F67B0C" w:rsidTr="00693A0F">
        <w:trPr>
          <w:trHeight w:val="16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2022</w:t>
            </w: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1503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Инвестиции городского округа Люберцы Московской области</w:t>
            </w: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1.1.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93A0F" w:rsidRPr="00F67B0C" w:rsidRDefault="00693A0F">
            <w:pPr>
              <w:rPr>
                <w:rFonts w:ascii="Arial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 xml:space="preserve">Количество созданных рабочих мест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единиц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1744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1778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1779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1780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1781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1782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693A0F" w:rsidRPr="00F67B0C" w:rsidTr="00693A0F">
        <w:trPr>
          <w:trHeight w:val="195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1.2.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Предотвращение роста напряженности на рынке труда.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104,96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</w:tr>
      <w:tr w:rsidR="00693A0F" w:rsidRPr="00F67B0C" w:rsidTr="00693A0F">
        <w:trPr>
          <w:trHeight w:val="254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1.3.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rPr>
                <w:rFonts w:ascii="Arial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F67B0C">
              <w:rPr>
                <w:rFonts w:ascii="Arial" w:eastAsia="Times New Roman" w:hAnsi="Arial" w:cs="Arial"/>
                <w:b/>
                <w:sz w:val="16"/>
                <w:szCs w:val="16"/>
              </w:rPr>
              <w:t>Инвестируй в Подмосковье</w:t>
            </w:r>
            <w:r w:rsidRPr="00F67B0C">
              <w:rPr>
                <w:rFonts w:ascii="Arial" w:eastAsia="Times New Roman" w:hAnsi="Arial" w:cs="Arial"/>
                <w:sz w:val="16"/>
                <w:szCs w:val="16"/>
              </w:rPr>
              <w:t xml:space="preserve"> (Объем инвестиций, привлеченных в основной капитал (без учета бюджетных инвестиций и жилищного строительства), на душу населения</w:t>
            </w:r>
            <w:proofErr w:type="gram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тыс</w:t>
            </w:r>
            <w:proofErr w:type="gramStart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.р</w:t>
            </w:r>
            <w:proofErr w:type="gramEnd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уб</w:t>
            </w:r>
            <w:proofErr w:type="spellEnd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7,72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39,62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39,67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39,69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1,2</w:t>
            </w: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1.4.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 xml:space="preserve">Создание благоприятных условий для реализации </w:t>
            </w: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Объем инвестиций, привлеченных в основной капитал по </w:t>
            </w:r>
            <w:proofErr w:type="gramStart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организациям</w:t>
            </w:r>
            <w:proofErr w:type="gramEnd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 xml:space="preserve"> не </w:t>
            </w: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относящимся к субъектам малого предпринимательства (без учета бюджетных инвестиций)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МП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млн</w:t>
            </w:r>
            <w:proofErr w:type="gramStart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.р</w:t>
            </w:r>
            <w:proofErr w:type="gramEnd"/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2367,2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12462,0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12700,0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13252,0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13325,0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rPr>
                <w:rFonts w:ascii="Arial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Предотвращение роста напряженности на рынке труда.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Зарплата бюджетников - Достижение (поддержание) средней заработной платы работников социальной сферы в соответствии с майскими Указами Президента 2012 года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1.6.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rPr>
                <w:rFonts w:ascii="Arial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hAnsi="Arial" w:cs="Arial"/>
                <w:sz w:val="16"/>
                <w:szCs w:val="16"/>
              </w:rPr>
              <w:t>Процент заполняемости индустриального парка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86,79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86,9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1.7.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Количество привлеченных резидентов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Единиц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1.8.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rPr>
                <w:rFonts w:ascii="Arial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Количество резидентов индустриальных парков, технопарков, промышленных площадок начавших производство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693A0F" w:rsidRPr="00F67B0C" w:rsidTr="00693A0F">
        <w:trPr>
          <w:trHeight w:val="1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1.9.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Количество созданных новых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</w:tr>
      <w:tr w:rsidR="00693A0F" w:rsidRPr="00F67B0C" w:rsidTr="00693A0F">
        <w:trPr>
          <w:trHeight w:val="21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1.10.</w:t>
            </w:r>
          </w:p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Повышение инвестиционной </w:t>
            </w: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Предотвращение роста </w:t>
            </w: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напряженности на рынке труда.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Зарплата без долгов – </w:t>
            </w: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Задолженность по выплате заработной платы (кол-во организаций, численность работников и сумма задолженности)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Приоритетный </w:t>
            </w: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рубли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A0F" w:rsidRPr="00F67B0C" w:rsidRDefault="00693A0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  <w:r w:rsidRPr="00F67B0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</w:tbl>
    <w:p w:rsidR="00693A0F" w:rsidRPr="00693A0F" w:rsidRDefault="00693A0F" w:rsidP="00693A0F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693A0F" w:rsidRPr="00693A0F">
          <w:pgSz w:w="16838" w:h="11906" w:orient="landscape"/>
          <w:pgMar w:top="567" w:right="567" w:bottom="851" w:left="567" w:header="567" w:footer="567" w:gutter="340"/>
          <w:cols w:space="720"/>
        </w:sectPr>
      </w:pPr>
      <w:bookmarkStart w:id="3" w:name="_GoBack"/>
      <w:bookmarkEnd w:id="3"/>
    </w:p>
    <w:p w:rsidR="00693A0F" w:rsidRPr="00693A0F" w:rsidRDefault="00693A0F" w:rsidP="00693A0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693A0F" w:rsidRPr="00693A0F" w:rsidRDefault="00693A0F" w:rsidP="00693A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693A0F" w:rsidRPr="00693A0F" w:rsidRDefault="00693A0F" w:rsidP="00693A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 xml:space="preserve">1. Общая характеристика </w:t>
      </w:r>
    </w:p>
    <w:p w:rsidR="00693A0F" w:rsidRPr="00693A0F" w:rsidRDefault="00693A0F" w:rsidP="00693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ab/>
      </w:r>
      <w:proofErr w:type="gramStart"/>
      <w:r w:rsidRPr="00693A0F">
        <w:rPr>
          <w:rFonts w:ascii="Arial" w:hAnsi="Arial" w:cs="Arial"/>
          <w:sz w:val="24"/>
          <w:szCs w:val="24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693A0F" w:rsidRPr="00693A0F" w:rsidRDefault="00693A0F" w:rsidP="00693A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  его экономики.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Инвестиционная привлекательность городского округа Люберцы складывается из ряда факторов.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городской округ Люберцы расположен в 18 км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- площадь застроенных земель - 4,8 </w:t>
      </w:r>
      <w:proofErr w:type="spellStart"/>
      <w:r w:rsidRPr="00693A0F">
        <w:rPr>
          <w:rFonts w:ascii="Arial" w:hAnsi="Arial" w:cs="Arial"/>
          <w:sz w:val="24"/>
          <w:szCs w:val="24"/>
        </w:rPr>
        <w:t>тыс</w:t>
      </w:r>
      <w:proofErr w:type="gramStart"/>
      <w:r w:rsidRPr="00693A0F">
        <w:rPr>
          <w:rFonts w:ascii="Arial" w:hAnsi="Arial" w:cs="Arial"/>
          <w:sz w:val="24"/>
          <w:szCs w:val="24"/>
        </w:rPr>
        <w:t>.г</w:t>
      </w:r>
      <w:proofErr w:type="gramEnd"/>
      <w:r w:rsidRPr="00693A0F">
        <w:rPr>
          <w:rFonts w:ascii="Arial" w:hAnsi="Arial" w:cs="Arial"/>
          <w:sz w:val="24"/>
          <w:szCs w:val="24"/>
        </w:rPr>
        <w:t>а</w:t>
      </w:r>
      <w:proofErr w:type="spellEnd"/>
      <w:r w:rsidRPr="00693A0F">
        <w:rPr>
          <w:rFonts w:ascii="Arial" w:hAnsi="Arial" w:cs="Arial"/>
          <w:sz w:val="24"/>
          <w:szCs w:val="24"/>
        </w:rPr>
        <w:t>,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- площадь сельскохозяйственных угодий  - 1,4 тыс. га,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- площадь лесных угодий – 4,5 тыс. га.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Через городской округ Люберцы, к юго-западу от Люберец, проходит автомагистраль М-5 «Урал». Параллельно федеральной автомагистрали М-5 «Урал» к северо-востоку    проходит   Октябрьский   проспект, разветвляясь на две части — одна - на юго-восток в  </w:t>
      </w:r>
      <w:proofErr w:type="spellStart"/>
      <w:r w:rsidRPr="00693A0F">
        <w:rPr>
          <w:rFonts w:ascii="Arial" w:hAnsi="Arial" w:cs="Arial"/>
          <w:sz w:val="24"/>
          <w:szCs w:val="24"/>
        </w:rPr>
        <w:t>р.п</w:t>
      </w:r>
      <w:proofErr w:type="gramStart"/>
      <w:r w:rsidRPr="00693A0F">
        <w:rPr>
          <w:rFonts w:ascii="Arial" w:hAnsi="Arial" w:cs="Arial"/>
          <w:sz w:val="24"/>
          <w:szCs w:val="24"/>
        </w:rPr>
        <w:t>.Т</w:t>
      </w:r>
      <w:proofErr w:type="gramEnd"/>
      <w:r w:rsidRPr="00693A0F">
        <w:rPr>
          <w:rFonts w:ascii="Arial" w:hAnsi="Arial" w:cs="Arial"/>
          <w:sz w:val="24"/>
          <w:szCs w:val="24"/>
        </w:rPr>
        <w:t>омилино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, другая -  на восток на </w:t>
      </w:r>
      <w:proofErr w:type="spellStart"/>
      <w:r w:rsidRPr="00693A0F">
        <w:rPr>
          <w:rFonts w:ascii="Arial" w:hAnsi="Arial" w:cs="Arial"/>
          <w:sz w:val="24"/>
          <w:szCs w:val="24"/>
        </w:rPr>
        <w:t>д.п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93A0F">
        <w:rPr>
          <w:rFonts w:ascii="Arial" w:hAnsi="Arial" w:cs="Arial"/>
          <w:sz w:val="24"/>
          <w:szCs w:val="24"/>
        </w:rPr>
        <w:t>Красково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и  </w:t>
      </w:r>
      <w:proofErr w:type="spellStart"/>
      <w:r w:rsidRPr="00693A0F">
        <w:rPr>
          <w:rFonts w:ascii="Arial" w:hAnsi="Arial" w:cs="Arial"/>
          <w:sz w:val="24"/>
          <w:szCs w:val="24"/>
        </w:rPr>
        <w:t>р.п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693A0F">
        <w:rPr>
          <w:rFonts w:ascii="Arial" w:hAnsi="Arial" w:cs="Arial"/>
          <w:sz w:val="24"/>
          <w:szCs w:val="24"/>
        </w:rPr>
        <w:t>Малаховка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(Егорьевское шоссе).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 Люберцы 2).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 № 3: высокая степень обеспеченности трудовыми ресурсами.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Городской округ Люберцы  является одним из самых густонаселенных районов в Московской области, с положительной динамикой численности населения.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Численность занятых в экономике – </w:t>
      </w:r>
      <w:r w:rsidRPr="00693A0F">
        <w:rPr>
          <w:rFonts w:ascii="Arial" w:hAnsi="Arial" w:cs="Arial"/>
          <w:b/>
          <w:sz w:val="24"/>
          <w:szCs w:val="24"/>
        </w:rPr>
        <w:t xml:space="preserve">94,8 </w:t>
      </w:r>
      <w:r w:rsidRPr="00693A0F">
        <w:rPr>
          <w:rFonts w:ascii="Arial" w:hAnsi="Arial" w:cs="Arial"/>
          <w:sz w:val="24"/>
          <w:szCs w:val="24"/>
        </w:rPr>
        <w:t xml:space="preserve">тыс. человек, или </w:t>
      </w:r>
      <w:r w:rsidRPr="00693A0F">
        <w:rPr>
          <w:rFonts w:ascii="Arial" w:hAnsi="Arial" w:cs="Arial"/>
          <w:b/>
          <w:sz w:val="24"/>
          <w:szCs w:val="24"/>
        </w:rPr>
        <w:t>30,9 %</w:t>
      </w:r>
      <w:r w:rsidRPr="00693A0F">
        <w:rPr>
          <w:rFonts w:ascii="Arial" w:hAnsi="Arial" w:cs="Arial"/>
          <w:sz w:val="24"/>
          <w:szCs w:val="24"/>
        </w:rPr>
        <w:t xml:space="preserve"> от численности населения (из них </w:t>
      </w:r>
      <w:r w:rsidRPr="00693A0F">
        <w:rPr>
          <w:rFonts w:ascii="Arial" w:hAnsi="Arial" w:cs="Arial"/>
          <w:b/>
          <w:sz w:val="24"/>
          <w:szCs w:val="24"/>
        </w:rPr>
        <w:t xml:space="preserve">45,7 </w:t>
      </w:r>
      <w:r w:rsidRPr="00693A0F">
        <w:rPr>
          <w:rFonts w:ascii="Arial" w:hAnsi="Arial" w:cs="Arial"/>
          <w:sz w:val="24"/>
          <w:szCs w:val="24"/>
        </w:rPr>
        <w:t>тыс. человек - на крупных и средних предприятиях).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 №4: диверсифицированная структура экономики.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lastRenderedPageBreak/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Экономический потенциал городского округа Люберцы  характеризуется следующими показателями: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За январь-октябрь</w:t>
      </w:r>
      <w:r w:rsidRPr="00693A0F">
        <w:rPr>
          <w:rFonts w:ascii="Arial" w:hAnsi="Arial" w:cs="Arial"/>
          <w:b/>
          <w:sz w:val="24"/>
          <w:szCs w:val="24"/>
        </w:rPr>
        <w:t xml:space="preserve"> 2017 года</w:t>
      </w:r>
      <w:r w:rsidRPr="00693A0F">
        <w:rPr>
          <w:rFonts w:ascii="Arial" w:hAnsi="Arial" w:cs="Arial"/>
          <w:sz w:val="24"/>
          <w:szCs w:val="24"/>
        </w:rPr>
        <w:t xml:space="preserve"> крупными и средними организациями округа отгружено товаров, выполнено работ и услуг по всем видам экономической деятельности на сумму </w:t>
      </w:r>
      <w:r w:rsidRPr="00693A0F">
        <w:rPr>
          <w:rFonts w:ascii="Arial" w:hAnsi="Arial" w:cs="Arial"/>
          <w:b/>
          <w:sz w:val="24"/>
          <w:szCs w:val="24"/>
        </w:rPr>
        <w:t>56,78 млрд. рублей,</w:t>
      </w:r>
      <w:r w:rsidRPr="00693A0F">
        <w:rPr>
          <w:rFonts w:ascii="Arial" w:hAnsi="Arial" w:cs="Arial"/>
          <w:sz w:val="24"/>
          <w:szCs w:val="24"/>
        </w:rPr>
        <w:t xml:space="preserve"> темп роста – </w:t>
      </w:r>
      <w:r w:rsidRPr="00693A0F">
        <w:rPr>
          <w:rFonts w:ascii="Arial" w:hAnsi="Arial" w:cs="Arial"/>
          <w:b/>
          <w:sz w:val="24"/>
          <w:szCs w:val="24"/>
        </w:rPr>
        <w:t xml:space="preserve">122,6 % </w:t>
      </w:r>
      <w:r w:rsidRPr="00693A0F">
        <w:rPr>
          <w:rFonts w:ascii="Arial" w:hAnsi="Arial" w:cs="Arial"/>
          <w:sz w:val="24"/>
          <w:szCs w:val="24"/>
        </w:rPr>
        <w:t>к  периоду январь-октябрь</w:t>
      </w:r>
      <w:r w:rsidRPr="00693A0F">
        <w:rPr>
          <w:rFonts w:ascii="Arial" w:hAnsi="Arial" w:cs="Arial"/>
          <w:b/>
          <w:sz w:val="24"/>
          <w:szCs w:val="24"/>
        </w:rPr>
        <w:t xml:space="preserve"> </w:t>
      </w:r>
      <w:r w:rsidRPr="00693A0F">
        <w:rPr>
          <w:rFonts w:ascii="Arial" w:hAnsi="Arial" w:cs="Arial"/>
          <w:sz w:val="24"/>
          <w:szCs w:val="24"/>
        </w:rPr>
        <w:t>2016 года.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Промышленной продукции отгружено на </w:t>
      </w:r>
      <w:r w:rsidRPr="00693A0F">
        <w:rPr>
          <w:rFonts w:ascii="Arial" w:hAnsi="Arial" w:cs="Arial"/>
          <w:b/>
          <w:sz w:val="24"/>
          <w:szCs w:val="24"/>
        </w:rPr>
        <w:t>25,25</w:t>
      </w:r>
      <w:r w:rsidRPr="00693A0F">
        <w:rPr>
          <w:rFonts w:ascii="Arial" w:hAnsi="Arial" w:cs="Arial"/>
          <w:sz w:val="24"/>
          <w:szCs w:val="24"/>
        </w:rPr>
        <w:t xml:space="preserve"> </w:t>
      </w:r>
      <w:r w:rsidRPr="00693A0F">
        <w:rPr>
          <w:rFonts w:ascii="Arial" w:hAnsi="Arial" w:cs="Arial"/>
          <w:b/>
          <w:sz w:val="24"/>
          <w:szCs w:val="24"/>
        </w:rPr>
        <w:t>млрд. рублей (</w:t>
      </w:r>
      <w:r w:rsidRPr="00693A0F">
        <w:rPr>
          <w:rFonts w:ascii="Arial" w:hAnsi="Arial" w:cs="Arial"/>
          <w:sz w:val="24"/>
          <w:szCs w:val="24"/>
        </w:rPr>
        <w:t xml:space="preserve">темп роста </w:t>
      </w:r>
      <w:r w:rsidRPr="00693A0F">
        <w:rPr>
          <w:rFonts w:ascii="Arial" w:hAnsi="Arial" w:cs="Arial"/>
          <w:b/>
          <w:sz w:val="24"/>
          <w:szCs w:val="24"/>
        </w:rPr>
        <w:t>118,5</w:t>
      </w:r>
      <w:r w:rsidRPr="00693A0F">
        <w:rPr>
          <w:rFonts w:ascii="Arial" w:hAnsi="Arial" w:cs="Arial"/>
          <w:sz w:val="24"/>
          <w:szCs w:val="24"/>
        </w:rPr>
        <w:t xml:space="preserve"> </w:t>
      </w:r>
      <w:r w:rsidRPr="00693A0F">
        <w:rPr>
          <w:rFonts w:ascii="Arial" w:hAnsi="Arial" w:cs="Arial"/>
          <w:b/>
          <w:sz w:val="24"/>
          <w:szCs w:val="24"/>
        </w:rPr>
        <w:t>%)</w:t>
      </w:r>
      <w:r w:rsidRPr="00693A0F">
        <w:rPr>
          <w:rFonts w:ascii="Arial" w:hAnsi="Arial" w:cs="Arial"/>
          <w:sz w:val="24"/>
          <w:szCs w:val="24"/>
        </w:rPr>
        <w:t xml:space="preserve">. </w:t>
      </w:r>
      <w:r w:rsidRPr="00693A0F">
        <w:rPr>
          <w:rFonts w:ascii="Arial" w:hAnsi="Arial" w:cs="Arial"/>
          <w:sz w:val="24"/>
          <w:szCs w:val="24"/>
        </w:rPr>
        <w:br/>
      </w:r>
      <w:proofErr w:type="gramStart"/>
      <w:r w:rsidRPr="00693A0F">
        <w:rPr>
          <w:rFonts w:ascii="Arial" w:hAnsi="Arial" w:cs="Arial"/>
          <w:sz w:val="24"/>
          <w:szCs w:val="24"/>
        </w:rPr>
        <w:t>На конец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2017 года значение данного показателя ожидаются в объеме </w:t>
      </w:r>
      <w:r w:rsidRPr="00693A0F">
        <w:rPr>
          <w:rFonts w:ascii="Arial" w:hAnsi="Arial" w:cs="Arial"/>
          <w:b/>
          <w:sz w:val="24"/>
          <w:szCs w:val="24"/>
        </w:rPr>
        <w:t>33,55</w:t>
      </w:r>
      <w:r w:rsidRPr="00693A0F">
        <w:rPr>
          <w:rFonts w:ascii="Arial" w:hAnsi="Arial" w:cs="Arial"/>
          <w:sz w:val="24"/>
          <w:szCs w:val="24"/>
        </w:rPr>
        <w:t xml:space="preserve"> млрд. рублей.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Среднемесячная заработная плата работников крупных и средних организаций городского округа Люберцы составила </w:t>
      </w:r>
      <w:r w:rsidRPr="00693A0F">
        <w:rPr>
          <w:rFonts w:ascii="Arial" w:hAnsi="Arial" w:cs="Arial"/>
          <w:b/>
          <w:sz w:val="24"/>
          <w:szCs w:val="24"/>
        </w:rPr>
        <w:t>56</w:t>
      </w:r>
      <w:r w:rsidRPr="00693A0F">
        <w:rPr>
          <w:rFonts w:ascii="Arial" w:hAnsi="Arial" w:cs="Arial"/>
          <w:sz w:val="24"/>
          <w:szCs w:val="24"/>
        </w:rPr>
        <w:t> </w:t>
      </w:r>
      <w:r w:rsidRPr="00693A0F">
        <w:rPr>
          <w:rFonts w:ascii="Arial" w:hAnsi="Arial" w:cs="Arial"/>
          <w:b/>
          <w:sz w:val="24"/>
          <w:szCs w:val="24"/>
        </w:rPr>
        <w:t>457,7</w:t>
      </w:r>
      <w:r w:rsidRPr="00693A0F">
        <w:rPr>
          <w:rFonts w:ascii="Arial" w:hAnsi="Arial" w:cs="Arial"/>
          <w:sz w:val="24"/>
          <w:szCs w:val="24"/>
        </w:rPr>
        <w:t xml:space="preserve"> рублей, темп роста – </w:t>
      </w:r>
      <w:r w:rsidRPr="00693A0F">
        <w:rPr>
          <w:rFonts w:ascii="Arial" w:hAnsi="Arial" w:cs="Arial"/>
          <w:b/>
          <w:sz w:val="24"/>
          <w:szCs w:val="24"/>
        </w:rPr>
        <w:t>115,6</w:t>
      </w:r>
      <w:r w:rsidRPr="00693A0F">
        <w:rPr>
          <w:rFonts w:ascii="Arial" w:hAnsi="Arial" w:cs="Arial"/>
          <w:sz w:val="24"/>
          <w:szCs w:val="24"/>
        </w:rPr>
        <w:t xml:space="preserve"> %, что на </w:t>
      </w:r>
      <w:r w:rsidRPr="00693A0F">
        <w:rPr>
          <w:rFonts w:ascii="Arial" w:hAnsi="Arial" w:cs="Arial"/>
          <w:b/>
          <w:sz w:val="24"/>
          <w:szCs w:val="24"/>
        </w:rPr>
        <w:t>7,3</w:t>
      </w:r>
      <w:r w:rsidRPr="00693A0F">
        <w:rPr>
          <w:rFonts w:ascii="Arial" w:hAnsi="Arial" w:cs="Arial"/>
          <w:sz w:val="24"/>
          <w:szCs w:val="24"/>
        </w:rPr>
        <w:t xml:space="preserve"> процентных пункта выше темпа роста данного показателя в среднем по Московской области.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93A0F">
        <w:rPr>
          <w:rFonts w:ascii="Arial" w:hAnsi="Arial" w:cs="Arial"/>
          <w:sz w:val="24"/>
          <w:szCs w:val="24"/>
        </w:rPr>
        <w:t>На конец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2017 года среднемесячная заработная плата работников ожидается в размере </w:t>
      </w:r>
      <w:r w:rsidRPr="00693A0F">
        <w:rPr>
          <w:rFonts w:ascii="Arial" w:hAnsi="Arial" w:cs="Arial"/>
          <w:b/>
          <w:sz w:val="24"/>
          <w:szCs w:val="24"/>
        </w:rPr>
        <w:t>57</w:t>
      </w:r>
      <w:r w:rsidRPr="00693A0F">
        <w:rPr>
          <w:rFonts w:ascii="Arial" w:hAnsi="Arial" w:cs="Arial"/>
          <w:sz w:val="24"/>
          <w:szCs w:val="24"/>
        </w:rPr>
        <w:t> </w:t>
      </w:r>
      <w:r w:rsidRPr="00693A0F">
        <w:rPr>
          <w:rFonts w:ascii="Arial" w:hAnsi="Arial" w:cs="Arial"/>
          <w:b/>
          <w:sz w:val="24"/>
          <w:szCs w:val="24"/>
        </w:rPr>
        <w:t>281,8</w:t>
      </w:r>
      <w:r w:rsidRPr="00693A0F">
        <w:rPr>
          <w:rFonts w:ascii="Arial" w:hAnsi="Arial" w:cs="Arial"/>
          <w:sz w:val="24"/>
          <w:szCs w:val="24"/>
        </w:rPr>
        <w:t xml:space="preserve"> рублей.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Среднесписочная численность работников крупных и средних организаций городского округа Люберцы за январь - сентябрь 2017 года составила </w:t>
      </w:r>
      <w:r w:rsidRPr="00693A0F">
        <w:rPr>
          <w:rFonts w:ascii="Arial" w:hAnsi="Arial" w:cs="Arial"/>
          <w:b/>
          <w:sz w:val="24"/>
          <w:szCs w:val="24"/>
        </w:rPr>
        <w:t>45 728</w:t>
      </w:r>
      <w:r w:rsidRPr="00693A0F">
        <w:rPr>
          <w:rFonts w:ascii="Arial" w:hAnsi="Arial" w:cs="Arial"/>
          <w:sz w:val="24"/>
          <w:szCs w:val="24"/>
        </w:rPr>
        <w:t xml:space="preserve"> человек, темп роста – </w:t>
      </w:r>
      <w:r w:rsidRPr="00693A0F">
        <w:rPr>
          <w:rFonts w:ascii="Arial" w:hAnsi="Arial" w:cs="Arial"/>
          <w:b/>
          <w:sz w:val="24"/>
          <w:szCs w:val="24"/>
        </w:rPr>
        <w:t>110,4%</w:t>
      </w:r>
      <w:r w:rsidRPr="00693A0F">
        <w:rPr>
          <w:rFonts w:ascii="Arial" w:hAnsi="Arial" w:cs="Arial"/>
          <w:sz w:val="24"/>
          <w:szCs w:val="24"/>
        </w:rPr>
        <w:t xml:space="preserve"> к уровню сопоставимого периода прошлого года.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Наиболее значимыми предприятиями научно-технического комплекса округа являются: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ОАО «Вертолеты России» - компания корпорации «</w:t>
      </w:r>
      <w:proofErr w:type="spellStart"/>
      <w:r w:rsidRPr="00693A0F">
        <w:rPr>
          <w:rFonts w:ascii="Arial" w:hAnsi="Arial" w:cs="Arial"/>
          <w:sz w:val="24"/>
          <w:szCs w:val="24"/>
        </w:rPr>
        <w:t>Оборонпром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ОАО «Камов» - предприятие по разработке и производству уникальных вертолетов различного назначения;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- ОАО «Московский вертолетный завод имени </w:t>
      </w:r>
      <w:proofErr w:type="spellStart"/>
      <w:r w:rsidRPr="00693A0F">
        <w:rPr>
          <w:rFonts w:ascii="Arial" w:hAnsi="Arial" w:cs="Arial"/>
          <w:sz w:val="24"/>
          <w:szCs w:val="24"/>
        </w:rPr>
        <w:t>М.Л.Миля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- ОАО «НПО «Звезда» имени академика Г.И. </w:t>
      </w:r>
      <w:proofErr w:type="spellStart"/>
      <w:r w:rsidRPr="00693A0F">
        <w:rPr>
          <w:rFonts w:ascii="Arial" w:hAnsi="Arial" w:cs="Arial"/>
          <w:sz w:val="24"/>
          <w:szCs w:val="24"/>
        </w:rPr>
        <w:t>Северина</w:t>
      </w:r>
      <w:proofErr w:type="spellEnd"/>
      <w:r w:rsidRPr="00693A0F">
        <w:rPr>
          <w:rFonts w:ascii="Arial" w:hAnsi="Arial" w:cs="Arial"/>
          <w:sz w:val="24"/>
          <w:szCs w:val="24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693A0F">
        <w:rPr>
          <w:rFonts w:ascii="Arial" w:hAnsi="Arial" w:cs="Arial"/>
          <w:sz w:val="24"/>
          <w:szCs w:val="24"/>
        </w:rPr>
        <w:t>дств сп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асения экипажей и пассажиров при авариях летательных аппаратов, систем дозаправки самолетов топливом в полете;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ОАО «Научно-производственное предприятие «</w:t>
      </w:r>
      <w:proofErr w:type="spellStart"/>
      <w:r w:rsidRPr="00693A0F">
        <w:rPr>
          <w:rFonts w:ascii="Arial" w:hAnsi="Arial" w:cs="Arial"/>
          <w:sz w:val="24"/>
          <w:szCs w:val="24"/>
        </w:rPr>
        <w:t>ЭлТом</w:t>
      </w:r>
      <w:proofErr w:type="spellEnd"/>
      <w:r w:rsidRPr="00693A0F">
        <w:rPr>
          <w:rFonts w:ascii="Arial" w:hAnsi="Arial" w:cs="Arial"/>
          <w:sz w:val="24"/>
          <w:szCs w:val="24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ЗАО «</w:t>
      </w:r>
      <w:proofErr w:type="spellStart"/>
      <w:r w:rsidRPr="00693A0F">
        <w:rPr>
          <w:rFonts w:ascii="Arial" w:hAnsi="Arial" w:cs="Arial"/>
          <w:sz w:val="24"/>
          <w:szCs w:val="24"/>
        </w:rPr>
        <w:t>Весоизмерительная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компания «</w:t>
      </w:r>
      <w:proofErr w:type="spellStart"/>
      <w:r w:rsidRPr="00693A0F">
        <w:rPr>
          <w:rFonts w:ascii="Arial" w:hAnsi="Arial" w:cs="Arial"/>
          <w:sz w:val="24"/>
          <w:szCs w:val="24"/>
        </w:rPr>
        <w:t>Тензо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-М» - осуществляет разработку и производство датчиков и </w:t>
      </w:r>
      <w:proofErr w:type="spellStart"/>
      <w:r w:rsidRPr="00693A0F">
        <w:rPr>
          <w:rFonts w:ascii="Arial" w:hAnsi="Arial" w:cs="Arial"/>
          <w:sz w:val="24"/>
          <w:szCs w:val="24"/>
        </w:rPr>
        <w:t>весоизмерительного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оборудования для различных отраслей промышленности;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lastRenderedPageBreak/>
        <w:t xml:space="preserve">- ООО «НПФ </w:t>
      </w:r>
      <w:proofErr w:type="spellStart"/>
      <w:r w:rsidRPr="00693A0F">
        <w:rPr>
          <w:rFonts w:ascii="Arial" w:hAnsi="Arial" w:cs="Arial"/>
          <w:sz w:val="24"/>
          <w:szCs w:val="24"/>
        </w:rPr>
        <w:t>Техэнергокомплекс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Рост инвестиций вызывает увеличение объемов производства, и как следствие, заработной платы.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Развитие производства предъявляет повышенные требования к образовательному уровню и квалификации работника с учетом рынка труда.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Актуальной проблемой городского округа Люберцы является дисбаланс между потребностью работодателей в квалифицированных рабочих кадрах и категорией безработных граждан, имеющих профессию, невостребованную на рынке труда.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На территории городского округа Люберцы ежегодно проводятся мероприятия по содействию занятости населения и снижению напряженности на рынке труда, в том числе: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организация временного трудоустройства несовершеннолетних граждан в возрасте от 14 до 18 лет в свободное от учебы время;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организация проведения оплачиваемых общественных работ;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граждан, испытывающих трудности в поиске работы;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- организация ярмарок вакансий и учебных рабочих мест, в том числе высокопроизводительных;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создание новых рабочих мест;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повышение заработной платы (минимальной и среднемесячной) и другие мероприятия.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2. Цели и задачи муниципальной программы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ab/>
        <w:t>Цель муниципальной программы 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Для достижения указанной цели необходимо решение следующих задач:</w:t>
      </w:r>
    </w:p>
    <w:p w:rsidR="00693A0F" w:rsidRPr="00693A0F" w:rsidRDefault="00693A0F" w:rsidP="00693A0F">
      <w:pPr>
        <w:pStyle w:val="a7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</w:p>
    <w:p w:rsidR="00693A0F" w:rsidRPr="00693A0F" w:rsidRDefault="00693A0F" w:rsidP="00693A0F">
      <w:pPr>
        <w:pStyle w:val="a7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Развитие механизмов реализации единой государственной инвестиционной политики на территории городского округа Люберцы.</w:t>
      </w:r>
    </w:p>
    <w:p w:rsidR="00693A0F" w:rsidRPr="00693A0F" w:rsidRDefault="00693A0F" w:rsidP="00693A0F">
      <w:pPr>
        <w:pStyle w:val="a7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Предотвращение роста напряженности на рынке труда.</w:t>
      </w:r>
    </w:p>
    <w:p w:rsidR="00693A0F" w:rsidRPr="00693A0F" w:rsidRDefault="00693A0F" w:rsidP="00693A0F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Решение задач осуществляется посредством реализации комплекса мероприятий, входящих в состав программы.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lastRenderedPageBreak/>
        <w:t>В программе мероприятия сбалансированы по задачам, объемам финансовых средств, необходимых для решения задач, по годам реализации программы и источникам финансирования.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 xml:space="preserve">3. Инерционный прогноз социально-экономического развития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ab/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 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Кроме того, инерционный сценарий предполагает сохранение среднегодовых </w:t>
      </w:r>
      <w:proofErr w:type="gramStart"/>
      <w:r w:rsidRPr="00693A0F">
        <w:rPr>
          <w:rFonts w:ascii="Arial" w:hAnsi="Arial" w:cs="Arial"/>
          <w:sz w:val="24"/>
          <w:szCs w:val="24"/>
        </w:rPr>
        <w:t>темпов роста основных показателей социально-экономического развития городского округа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693A0F">
        <w:rPr>
          <w:rFonts w:ascii="Arial" w:hAnsi="Arial" w:cs="Arial"/>
          <w:sz w:val="24"/>
          <w:szCs w:val="24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на более низком уровне, чем при программном пути развития (в среднем на 2 процентных пункта).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4. Планируемые результаты реализации муниципальной программы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ab/>
        <w:t>Показатели эффективности реализации мероприятий приведены в приложении № 2 к настоящей Программе.</w:t>
      </w:r>
    </w:p>
    <w:p w:rsidR="00693A0F" w:rsidRPr="00693A0F" w:rsidRDefault="00693A0F" w:rsidP="00693A0F">
      <w:pPr>
        <w:numPr>
          <w:ilvl w:val="0"/>
          <w:numId w:val="4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 xml:space="preserve">Объем инвестиций, привлеченных в основной капитал по </w:t>
      </w:r>
      <w:proofErr w:type="gramStart"/>
      <w:r w:rsidRPr="00693A0F">
        <w:rPr>
          <w:rFonts w:ascii="Arial" w:eastAsia="Times New Roman" w:hAnsi="Arial" w:cs="Arial"/>
          <w:sz w:val="24"/>
          <w:szCs w:val="24"/>
        </w:rPr>
        <w:t>организациям</w:t>
      </w:r>
      <w:proofErr w:type="gramEnd"/>
      <w:r w:rsidRPr="00693A0F">
        <w:rPr>
          <w:rFonts w:ascii="Arial" w:eastAsia="Times New Roman" w:hAnsi="Arial" w:cs="Arial"/>
          <w:sz w:val="24"/>
          <w:szCs w:val="24"/>
        </w:rPr>
        <w:t xml:space="preserve"> не относящимся к субъектам малого предпринимательства (без учета бюджетных инвестиций и жилищного строительства);</w:t>
      </w:r>
    </w:p>
    <w:p w:rsidR="00693A0F" w:rsidRPr="00693A0F" w:rsidRDefault="00693A0F" w:rsidP="00693A0F">
      <w:pPr>
        <w:numPr>
          <w:ilvl w:val="0"/>
          <w:numId w:val="4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Количество созданных рабочих мест;</w:t>
      </w:r>
    </w:p>
    <w:p w:rsidR="00693A0F" w:rsidRPr="00693A0F" w:rsidRDefault="00693A0F" w:rsidP="00693A0F">
      <w:pPr>
        <w:pStyle w:val="a7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Увеличение среднемесячной заработной платы работников организаций, не относящихся к субъектам малого предпринимательства;</w:t>
      </w:r>
    </w:p>
    <w:p w:rsidR="00693A0F" w:rsidRPr="00693A0F" w:rsidRDefault="00693A0F" w:rsidP="00693A0F">
      <w:pPr>
        <w:pStyle w:val="a7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Инвестируй в Подмосковье;</w:t>
      </w:r>
    </w:p>
    <w:p w:rsidR="00693A0F" w:rsidRPr="00693A0F" w:rsidRDefault="00693A0F" w:rsidP="00693A0F">
      <w:pPr>
        <w:pStyle w:val="a7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Процент заполняемости индустриального парка</w:t>
      </w:r>
      <w:r w:rsidRPr="00693A0F">
        <w:rPr>
          <w:rFonts w:ascii="Arial" w:eastAsia="Times New Roman" w:hAnsi="Arial" w:cs="Arial"/>
          <w:sz w:val="24"/>
          <w:szCs w:val="24"/>
        </w:rPr>
        <w:t>;</w:t>
      </w:r>
    </w:p>
    <w:p w:rsidR="00693A0F" w:rsidRPr="00693A0F" w:rsidRDefault="00693A0F" w:rsidP="00693A0F">
      <w:pPr>
        <w:pStyle w:val="a7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Количество привлеченных резидентов индустриальных парков, технопарков, промышленных площадок;</w:t>
      </w:r>
    </w:p>
    <w:p w:rsidR="00693A0F" w:rsidRPr="00693A0F" w:rsidRDefault="00693A0F" w:rsidP="00693A0F">
      <w:pPr>
        <w:pStyle w:val="a7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Количество резидентов индустриальных парков, технопарков, промышленных площадок начавших производство;</w:t>
      </w:r>
    </w:p>
    <w:p w:rsidR="00693A0F" w:rsidRPr="00693A0F" w:rsidRDefault="00693A0F" w:rsidP="00693A0F">
      <w:pPr>
        <w:pStyle w:val="a7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Количество созданных новых индустриальных парков, технопарков, промышленных площадок;</w:t>
      </w:r>
    </w:p>
    <w:p w:rsidR="00693A0F" w:rsidRPr="00693A0F" w:rsidRDefault="00693A0F" w:rsidP="00693A0F">
      <w:pPr>
        <w:pStyle w:val="a7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Зарплата без долгов;</w:t>
      </w:r>
    </w:p>
    <w:p w:rsidR="00693A0F" w:rsidRPr="00693A0F" w:rsidRDefault="00693A0F" w:rsidP="00693A0F">
      <w:pPr>
        <w:pStyle w:val="a7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Зарплата бюджетников.</w:t>
      </w:r>
    </w:p>
    <w:p w:rsidR="00693A0F" w:rsidRPr="00693A0F" w:rsidRDefault="00693A0F" w:rsidP="00693A0F">
      <w:pPr>
        <w:spacing w:after="0" w:line="240" w:lineRule="auto"/>
        <w:ind w:left="1146" w:firstLine="567"/>
        <w:jc w:val="both"/>
        <w:rPr>
          <w:rFonts w:ascii="Arial" w:hAnsi="Arial" w:cs="Arial"/>
          <w:b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left="720" w:firstLine="567"/>
        <w:jc w:val="both"/>
        <w:rPr>
          <w:rFonts w:ascii="Arial" w:hAnsi="Arial" w:cs="Arial"/>
          <w:b/>
          <w:sz w:val="24"/>
          <w:szCs w:val="24"/>
        </w:rPr>
      </w:pPr>
    </w:p>
    <w:p w:rsidR="00693A0F" w:rsidRPr="00693A0F" w:rsidRDefault="00693A0F" w:rsidP="00693A0F">
      <w:pPr>
        <w:tabs>
          <w:tab w:val="left" w:pos="709"/>
        </w:tabs>
        <w:spacing w:after="0" w:line="240" w:lineRule="auto"/>
        <w:ind w:left="720"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5. Финансирование муниципальной программы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Финансирование мероприятий муниципальной программы не требуется. 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lastRenderedPageBreak/>
        <w:t>6. Порядок взаимодействия ответственных за выполнение мероприятий программы с заказчиками муниципальной программы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Управление предпринимательства и инвестиций администрации городского округа Люберцы является заказчиком муниципальной программы,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программы, обеспечивая:</w:t>
      </w:r>
    </w:p>
    <w:p w:rsidR="00693A0F" w:rsidRPr="00693A0F" w:rsidRDefault="00693A0F" w:rsidP="00693A0F">
      <w:pPr>
        <w:tabs>
          <w:tab w:val="left" w:pos="141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планирование реализации муниципальной программы в ключе задач и целевых ориентиров муниципальной программы на соответствующий финансовый год;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мониторинг целевых значений показателей муниципальной программы и показателей мероприятий муниципальной программы;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- осуществление анализа и </w:t>
      </w:r>
      <w:proofErr w:type="gramStart"/>
      <w:r w:rsidRPr="00693A0F">
        <w:rPr>
          <w:rFonts w:ascii="Arial" w:hAnsi="Arial" w:cs="Arial"/>
          <w:sz w:val="24"/>
          <w:szCs w:val="24"/>
        </w:rPr>
        <w:t>оценки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фактически достигаемых значений показателей муниципальной программы по итогам отчетного периода;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осуществление ежегодной оценки результативности и эффективности мероприятий муниципальной программы;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контроль реализации мероприятий муниципальной программы в ходе ее реализации;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внесение предложений о корректировке параметров муниципальной программы;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- информационное сопровождение реализации муниципальной программы.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7.Состав, форма и сроки представления отчетности о ходе</w:t>
      </w:r>
    </w:p>
    <w:p w:rsidR="00693A0F" w:rsidRPr="00693A0F" w:rsidRDefault="00693A0F" w:rsidP="00693A0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реализации мероприятий муниципальной программы</w:t>
      </w:r>
    </w:p>
    <w:p w:rsidR="00693A0F" w:rsidRPr="00693A0F" w:rsidRDefault="00693A0F" w:rsidP="00693A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С целью контроля реализации муниципальной программы ответственные за выполнение мероприятий программы предоставляют до 1 марта года, следующего за отчетным годом, заказчикам муниципальной программы ежегодный отчет по форме в соответствии с Порядком принятия решений о разработке муниципальных программ городского округа Люберцы, их формирования и реализации.</w:t>
      </w:r>
    </w:p>
    <w:p w:rsidR="00693A0F" w:rsidRPr="00693A0F" w:rsidRDefault="00693A0F" w:rsidP="00693A0F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8. Перечень подпрограмм</w:t>
      </w:r>
    </w:p>
    <w:p w:rsidR="00693A0F" w:rsidRPr="00693A0F" w:rsidRDefault="00693A0F" w:rsidP="00693A0F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Инвестиции городского округа Люберцы</w:t>
      </w:r>
    </w:p>
    <w:p w:rsidR="00693A0F" w:rsidRPr="00693A0F" w:rsidRDefault="00693A0F" w:rsidP="00693A0F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9. Обобщенная характеристика основных мероприятий</w:t>
      </w:r>
    </w:p>
    <w:p w:rsidR="00693A0F" w:rsidRPr="00693A0F" w:rsidRDefault="00693A0F" w:rsidP="00693A0F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</w:t>
      </w:r>
      <w:r w:rsidRPr="00693A0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693A0F" w:rsidRPr="00693A0F" w:rsidRDefault="00693A0F" w:rsidP="00693A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color w:val="000000"/>
          <w:sz w:val="24"/>
          <w:szCs w:val="24"/>
        </w:rPr>
        <w:t xml:space="preserve">Продвижение инвестиционного потенциала городского округа Люберцы - Создание многопрофильных индустриальных парков, технологических парков, промышленных площадок, Участие в </w:t>
      </w:r>
      <w:proofErr w:type="spellStart"/>
      <w:r w:rsidRPr="00693A0F">
        <w:rPr>
          <w:rFonts w:ascii="Arial" w:eastAsia="Times New Roman" w:hAnsi="Arial" w:cs="Arial"/>
          <w:color w:val="000000"/>
          <w:sz w:val="24"/>
          <w:szCs w:val="24"/>
        </w:rPr>
        <w:t>выставочно</w:t>
      </w:r>
      <w:proofErr w:type="spellEnd"/>
      <w:r w:rsidRPr="00693A0F">
        <w:rPr>
          <w:rFonts w:ascii="Arial" w:eastAsia="Times New Roman" w:hAnsi="Arial" w:cs="Arial"/>
          <w:color w:val="000000"/>
          <w:sz w:val="24"/>
          <w:szCs w:val="24"/>
        </w:rPr>
        <w:t>-ярмарочных мероприятиях, форумах, направленных на повышение конкурентоспособности и инвестиционной привлекательности, Организация работы с возможными участниками для заключения соглашений об участии сторон государственного (муниципального</w:t>
      </w:r>
      <w:proofErr w:type="gramStart"/>
      <w:r w:rsidRPr="00693A0F">
        <w:rPr>
          <w:rFonts w:ascii="Arial" w:eastAsia="Times New Roman" w:hAnsi="Arial" w:cs="Arial"/>
          <w:color w:val="000000"/>
          <w:sz w:val="24"/>
          <w:szCs w:val="24"/>
        </w:rPr>
        <w:t>)-</w:t>
      </w:r>
      <w:proofErr w:type="gramEnd"/>
      <w:r w:rsidRPr="00693A0F">
        <w:rPr>
          <w:rFonts w:ascii="Arial" w:eastAsia="Times New Roman" w:hAnsi="Arial" w:cs="Arial"/>
          <w:color w:val="000000"/>
          <w:sz w:val="24"/>
          <w:szCs w:val="24"/>
        </w:rPr>
        <w:t xml:space="preserve">частного партнерства в реализации инвестиционных проектов - </w:t>
      </w:r>
      <w:r w:rsidRPr="00693A0F">
        <w:rPr>
          <w:rFonts w:ascii="Arial" w:eastAsia="Times New Roman" w:hAnsi="Arial" w:cs="Arial"/>
          <w:sz w:val="24"/>
          <w:szCs w:val="24"/>
        </w:rPr>
        <w:t xml:space="preserve">Инвестируй в Подмосковье (Объем инвестиций, привлеченных в основной капитал по организациям не относящимся к субъектам малого предпринимательства (без </w:t>
      </w:r>
      <w:r w:rsidRPr="00693A0F">
        <w:rPr>
          <w:rFonts w:ascii="Arial" w:eastAsia="Times New Roman" w:hAnsi="Arial" w:cs="Arial"/>
          <w:sz w:val="24"/>
          <w:szCs w:val="24"/>
        </w:rPr>
        <w:lastRenderedPageBreak/>
        <w:t>учета бюджетных инвестиций и жилищного строительства), на душу населения к 2022 году до 39,80тыс</w:t>
      </w:r>
      <w:proofErr w:type="gramStart"/>
      <w:r w:rsidRPr="00693A0F">
        <w:rPr>
          <w:rFonts w:ascii="Arial" w:eastAsia="Times New Roman" w:hAnsi="Arial" w:cs="Arial"/>
          <w:sz w:val="24"/>
          <w:szCs w:val="24"/>
        </w:rPr>
        <w:t>.р</w:t>
      </w:r>
      <w:proofErr w:type="gramEnd"/>
      <w:r w:rsidRPr="00693A0F">
        <w:rPr>
          <w:rFonts w:ascii="Arial" w:eastAsia="Times New Roman" w:hAnsi="Arial" w:cs="Arial"/>
          <w:sz w:val="24"/>
          <w:szCs w:val="24"/>
        </w:rPr>
        <w:t>уб.</w:t>
      </w:r>
    </w:p>
    <w:p w:rsidR="00693A0F" w:rsidRPr="00693A0F" w:rsidRDefault="00693A0F" w:rsidP="00693A0F">
      <w:pPr>
        <w:pStyle w:val="a7"/>
        <w:numPr>
          <w:ilvl w:val="0"/>
          <w:numId w:val="6"/>
        </w:numPr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мероприятие:</w:t>
      </w:r>
    </w:p>
    <w:p w:rsidR="00693A0F" w:rsidRPr="00693A0F" w:rsidRDefault="00693A0F" w:rsidP="00693A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color w:val="000000"/>
          <w:sz w:val="24"/>
          <w:szCs w:val="24"/>
        </w:rPr>
        <w:t>Проведение мероприятий по увеличению рабочих мест на территории  муниципального образования - Осуществление взаимодействия с потенциальными инвесторами и действующими организациями по созданию новых рабочих мест, проведение мероприятий по информированию бизнес сообщества о мерах поддержки инвесторов при реализации инвестиционных проектов - Количество созданных рабочих мест, в 2022 году 1782 единиц.</w:t>
      </w:r>
    </w:p>
    <w:p w:rsidR="00693A0F" w:rsidRPr="00693A0F" w:rsidRDefault="00693A0F" w:rsidP="00693A0F">
      <w:pPr>
        <w:pStyle w:val="a7"/>
        <w:ind w:left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b/>
          <w:color w:val="000000"/>
          <w:sz w:val="24"/>
          <w:szCs w:val="24"/>
        </w:rPr>
        <w:t>3.Основное мероприятие</w:t>
      </w:r>
      <w:r w:rsidRPr="00693A0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693A0F" w:rsidRPr="00693A0F" w:rsidRDefault="00693A0F" w:rsidP="00693A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93A0F">
        <w:rPr>
          <w:rFonts w:ascii="Arial" w:eastAsia="Times New Roman" w:hAnsi="Arial" w:cs="Arial"/>
          <w:color w:val="000000"/>
          <w:sz w:val="24"/>
          <w:szCs w:val="24"/>
        </w:rPr>
        <w:t>Проведение мероприятий по увеличению размера заработной платы на территории муниципального образования - Мониторинг динамики размера заработной платы  на действующих предприятиях, содействие увеличению размера реальной заработной платы в соответствии с постановлением Правительства РФ от 30.11.2016 №118 в рамках трёхстороннего соглашения - Улучшение качества жизни населения;</w:t>
      </w:r>
    </w:p>
    <w:p w:rsidR="00693A0F" w:rsidRPr="00693A0F" w:rsidRDefault="00693A0F" w:rsidP="00693A0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sz w:val="24"/>
          <w:szCs w:val="24"/>
        </w:rPr>
        <w:t>Зарплата без долгов к концу 2022 года 0 руб., увеличение среднемесячной заработной платы работников организаций, не относящихся к субъектам малого предпринимательства к 2022 году до 107,8%.</w:t>
      </w:r>
    </w:p>
    <w:p w:rsidR="00693A0F" w:rsidRPr="00693A0F" w:rsidRDefault="00693A0F" w:rsidP="00693A0F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693A0F">
        <w:rPr>
          <w:rFonts w:ascii="Arial" w:eastAsia="Times New Roman" w:hAnsi="Arial" w:cs="Arial"/>
          <w:b/>
          <w:sz w:val="24"/>
          <w:szCs w:val="24"/>
          <w:lang w:eastAsia="en-US"/>
        </w:rPr>
        <w:t>Методика расчета показателей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eastAsia="Times New Roman" w:hAnsi="Arial" w:cs="Arial"/>
          <w:b/>
          <w:color w:val="000000"/>
          <w:sz w:val="24"/>
          <w:szCs w:val="24"/>
        </w:rPr>
        <w:t>1.</w:t>
      </w:r>
      <w:r w:rsidRPr="00693A0F">
        <w:rPr>
          <w:rFonts w:ascii="Arial" w:hAnsi="Arial" w:cs="Arial"/>
          <w:sz w:val="24"/>
          <w:szCs w:val="24"/>
        </w:rPr>
        <w:t xml:space="preserve">Объем инвестиций, привлеченных в основной капитал </w:t>
      </w:r>
      <w:r w:rsidRPr="00693A0F">
        <w:rPr>
          <w:rFonts w:ascii="Arial" w:hAnsi="Arial" w:cs="Arial"/>
          <w:sz w:val="24"/>
          <w:szCs w:val="24"/>
        </w:rPr>
        <w:br/>
        <w:t xml:space="preserve">по организациям, не относящимся к субъектам малого предпринимательства (без учета бюджетных инвестиций и жилищного строительства) - источником информации являются данные формы статистического наблюдения № П-2 «Сведения об инвестициях в нефинансовые активы», размещенные </w:t>
      </w:r>
      <w:r w:rsidRPr="00693A0F">
        <w:rPr>
          <w:rFonts w:ascii="Arial" w:hAnsi="Arial" w:cs="Arial"/>
          <w:b/>
          <w:sz w:val="24"/>
          <w:szCs w:val="24"/>
        </w:rPr>
        <w:t>на отчетную дату</w:t>
      </w:r>
      <w:r w:rsidRPr="00693A0F">
        <w:rPr>
          <w:rFonts w:ascii="Arial" w:hAnsi="Arial" w:cs="Arial"/>
          <w:sz w:val="24"/>
          <w:szCs w:val="24"/>
        </w:rPr>
        <w:t xml:space="preserve">  на портале Правительства Московской области  в рамках Госзаказа на статистическую информацию и рассчитывается по формуле: п. 4 данной методики</w:t>
      </w:r>
      <w:proofErr w:type="gramStart"/>
      <w:r w:rsidRPr="00693A0F">
        <w:rPr>
          <w:rFonts w:ascii="Arial" w:hAnsi="Arial" w:cs="Arial"/>
          <w:b/>
          <w:i/>
          <w:sz w:val="24"/>
          <w:szCs w:val="24"/>
        </w:rPr>
        <w:t xml:space="preserve"> :</w:t>
      </w:r>
      <w:proofErr w:type="gramEnd"/>
      <w:r w:rsidRPr="00693A0F">
        <w:rPr>
          <w:rFonts w:ascii="Arial" w:hAnsi="Arial" w:cs="Arial"/>
          <w:b/>
          <w:i/>
          <w:sz w:val="24"/>
          <w:szCs w:val="24"/>
        </w:rPr>
        <w:t xml:space="preserve"> И</w:t>
      </w:r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 xml:space="preserve">Д </w:t>
      </w:r>
      <w:r w:rsidRPr="00693A0F">
        <w:rPr>
          <w:rFonts w:ascii="Arial" w:hAnsi="Arial" w:cs="Arial"/>
          <w:b/>
          <w:i/>
          <w:sz w:val="24"/>
          <w:szCs w:val="24"/>
        </w:rPr>
        <w:t>= И</w:t>
      </w:r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>КС</w:t>
      </w:r>
      <w:r w:rsidRPr="00693A0F">
        <w:rPr>
          <w:rFonts w:ascii="Arial" w:hAnsi="Arial" w:cs="Arial"/>
          <w:b/>
          <w:i/>
          <w:sz w:val="24"/>
          <w:szCs w:val="24"/>
        </w:rPr>
        <w:t xml:space="preserve"> - И</w:t>
      </w:r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 xml:space="preserve">Б </w:t>
      </w:r>
      <w:r w:rsidRPr="00693A0F">
        <w:rPr>
          <w:rFonts w:ascii="Arial" w:hAnsi="Arial" w:cs="Arial"/>
          <w:b/>
          <w:i/>
          <w:sz w:val="24"/>
          <w:szCs w:val="24"/>
        </w:rPr>
        <w:t>- И</w:t>
      </w:r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>Ж.</w:t>
      </w:r>
    </w:p>
    <w:p w:rsidR="00693A0F" w:rsidRPr="00693A0F" w:rsidRDefault="00693A0F" w:rsidP="00693A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3A0F">
        <w:rPr>
          <w:rFonts w:ascii="Arial" w:eastAsia="Times New Roman" w:hAnsi="Arial" w:cs="Arial"/>
          <w:b/>
          <w:color w:val="000000"/>
          <w:sz w:val="24"/>
          <w:szCs w:val="24"/>
        </w:rPr>
        <w:t>2. Количество созданных рабочих мес</w:t>
      </w:r>
      <w:r w:rsidRPr="00693A0F">
        <w:rPr>
          <w:rFonts w:ascii="Arial" w:eastAsia="Times New Roman" w:hAnsi="Arial" w:cs="Arial"/>
          <w:color w:val="000000"/>
          <w:sz w:val="24"/>
          <w:szCs w:val="24"/>
        </w:rPr>
        <w:t>т рассчитывается по факту созданных рабочих мест.</w:t>
      </w:r>
    </w:p>
    <w:p w:rsidR="00693A0F" w:rsidRPr="00693A0F" w:rsidRDefault="00693A0F" w:rsidP="00693A0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93A0F">
        <w:rPr>
          <w:rFonts w:ascii="Arial" w:eastAsia="Times New Roman" w:hAnsi="Arial" w:cs="Arial"/>
          <w:b/>
          <w:color w:val="000000"/>
          <w:sz w:val="24"/>
          <w:szCs w:val="24"/>
        </w:rPr>
        <w:t>3.Увеличение среднемесячной заработной платы работников организаций, не относящихся к субъектам малого и среднего предпринимательства</w:t>
      </w:r>
      <w:r w:rsidRPr="00693A0F">
        <w:rPr>
          <w:rFonts w:ascii="Arial" w:eastAsia="Times New Roman" w:hAnsi="Arial" w:cs="Arial"/>
          <w:color w:val="000000"/>
          <w:sz w:val="24"/>
          <w:szCs w:val="24"/>
        </w:rPr>
        <w:t xml:space="preserve"> рассчитывается соотношением среднемесячной заработной платы работников организаций, не относящихся к субъектам малого и среднего предпринимательства текущего периода к среднемесячной заработной платы работников организаций, не относящихся к субъектам малого и среднего предпринимательства предыдущего периода - %.</w:t>
      </w:r>
      <w:proofErr w:type="gramEnd"/>
    </w:p>
    <w:p w:rsidR="00693A0F" w:rsidRPr="00693A0F" w:rsidRDefault="00693A0F" w:rsidP="00693A0F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4. Объем инвестиций, привлеченных в основной капитал (без учета бюджетных инвестиций и жилищного строительства), на душу населения.</w:t>
      </w: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lastRenderedPageBreak/>
        <w:t xml:space="preserve"> Показатель включает объем инвестиций, привлеченных за отчетный период в основной капитал по организациям, не относящимся к субъектам малого предпринимательства, за исключением средств бюджетов всех уровней, а также инвестиций направленных на жилищное строительство.</w:t>
      </w: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Расчет показателя осуществляется по следующей формуле:</w:t>
      </w:r>
    </w:p>
    <w:p w:rsidR="00693A0F" w:rsidRPr="00693A0F" w:rsidRDefault="00693A0F" w:rsidP="00693A0F">
      <w:pPr>
        <w:spacing w:after="0"/>
        <w:ind w:firstLine="709"/>
        <w:jc w:val="center"/>
        <w:rPr>
          <w:rFonts w:ascii="Arial" w:hAnsi="Arial" w:cs="Arial"/>
          <w:b/>
          <w:i/>
          <w:sz w:val="24"/>
          <w:szCs w:val="24"/>
        </w:rPr>
      </w:pPr>
    </w:p>
    <w:p w:rsidR="00693A0F" w:rsidRPr="00693A0F" w:rsidRDefault="00693A0F" w:rsidP="00693A0F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  <w:vertAlign w:val="subscript"/>
        </w:rPr>
      </w:pPr>
      <w:r w:rsidRPr="00693A0F">
        <w:rPr>
          <w:rFonts w:ascii="Arial" w:hAnsi="Arial" w:cs="Arial"/>
          <w:b/>
          <w:i/>
          <w:sz w:val="24"/>
          <w:szCs w:val="24"/>
        </w:rPr>
        <w:t>И</w:t>
      </w:r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 xml:space="preserve">Д </w:t>
      </w:r>
      <w:r w:rsidRPr="00693A0F">
        <w:rPr>
          <w:rFonts w:ascii="Arial" w:hAnsi="Arial" w:cs="Arial"/>
          <w:b/>
          <w:i/>
          <w:sz w:val="24"/>
          <w:szCs w:val="24"/>
        </w:rPr>
        <w:t>= И</w:t>
      </w:r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>КС</w:t>
      </w:r>
      <w:r w:rsidRPr="00693A0F">
        <w:rPr>
          <w:rFonts w:ascii="Arial" w:hAnsi="Arial" w:cs="Arial"/>
          <w:b/>
          <w:i/>
          <w:sz w:val="24"/>
          <w:szCs w:val="24"/>
        </w:rPr>
        <w:t xml:space="preserve"> - И</w:t>
      </w:r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 xml:space="preserve">Б </w:t>
      </w:r>
      <w:r w:rsidRPr="00693A0F">
        <w:rPr>
          <w:rFonts w:ascii="Arial" w:hAnsi="Arial" w:cs="Arial"/>
          <w:b/>
          <w:i/>
          <w:sz w:val="24"/>
          <w:szCs w:val="24"/>
        </w:rPr>
        <w:t>- И</w:t>
      </w:r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>Ж</w:t>
      </w:r>
      <w:proofErr w:type="gramStart"/>
      <w:r w:rsidRPr="00693A0F">
        <w:rPr>
          <w:rFonts w:ascii="Arial" w:hAnsi="Arial" w:cs="Arial"/>
          <w:b/>
          <w:i/>
          <w:sz w:val="24"/>
          <w:szCs w:val="24"/>
          <w:vertAlign w:val="subscript"/>
        </w:rPr>
        <w:t xml:space="preserve"> </w:t>
      </w:r>
      <w:r w:rsidRPr="00693A0F">
        <w:rPr>
          <w:rFonts w:ascii="Arial" w:hAnsi="Arial" w:cs="Arial"/>
          <w:b/>
          <w:sz w:val="24"/>
          <w:szCs w:val="24"/>
          <w:vertAlign w:val="subscript"/>
        </w:rPr>
        <w:t>,</w:t>
      </w:r>
      <w:proofErr w:type="gramEnd"/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где: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9181" w:type="dxa"/>
        <w:tblLook w:val="01E0" w:firstRow="1" w:lastRow="1" w:firstColumn="1" w:lastColumn="1" w:noHBand="0" w:noVBand="0"/>
      </w:tblPr>
      <w:tblGrid>
        <w:gridCol w:w="905"/>
        <w:gridCol w:w="425"/>
        <w:gridCol w:w="111"/>
        <w:gridCol w:w="7740"/>
      </w:tblGrid>
      <w:tr w:rsidR="00693A0F" w:rsidRPr="00693A0F" w:rsidTr="00693A0F">
        <w:tc>
          <w:tcPr>
            <w:tcW w:w="905" w:type="dxa"/>
            <w:hideMark/>
          </w:tcPr>
          <w:p w:rsidR="00693A0F" w:rsidRPr="00693A0F" w:rsidRDefault="00693A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И</w:t>
            </w:r>
            <w:r w:rsidRPr="00693A0F">
              <w:rPr>
                <w:rFonts w:ascii="Arial" w:hAnsi="Arial" w:cs="Arial"/>
                <w:sz w:val="24"/>
                <w:szCs w:val="24"/>
                <w:vertAlign w:val="subscript"/>
              </w:rPr>
              <w:t>Д</w:t>
            </w:r>
          </w:p>
        </w:tc>
        <w:tc>
          <w:tcPr>
            <w:tcW w:w="425" w:type="dxa"/>
            <w:hideMark/>
          </w:tcPr>
          <w:p w:rsidR="00693A0F" w:rsidRPr="00693A0F" w:rsidRDefault="00693A0F">
            <w:pPr>
              <w:spacing w:after="0"/>
              <w:ind w:left="-337" w:firstLine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7851" w:type="dxa"/>
            <w:gridSpan w:val="2"/>
            <w:hideMark/>
          </w:tcPr>
          <w:p w:rsidR="00693A0F" w:rsidRPr="00693A0F" w:rsidRDefault="00693A0F">
            <w:pPr>
              <w:spacing w:after="0"/>
              <w:ind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объем инвестиций, привлеченных в основной капитал </w:t>
            </w:r>
            <w:r w:rsidRPr="00693A0F">
              <w:rPr>
                <w:rFonts w:ascii="Arial" w:hAnsi="Arial" w:cs="Arial"/>
                <w:sz w:val="24"/>
                <w:szCs w:val="24"/>
              </w:rPr>
              <w:br/>
              <w:t>по организациям, не относящимся к субъектам малого предпринимательства (без учета бюджетных инвестиций и жилищного строительства);</w:t>
            </w:r>
          </w:p>
        </w:tc>
      </w:tr>
      <w:tr w:rsidR="00693A0F" w:rsidRPr="00693A0F" w:rsidTr="00693A0F">
        <w:tc>
          <w:tcPr>
            <w:tcW w:w="905" w:type="dxa"/>
            <w:hideMark/>
          </w:tcPr>
          <w:p w:rsidR="00693A0F" w:rsidRPr="00693A0F" w:rsidRDefault="00693A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И</w:t>
            </w:r>
            <w:r w:rsidRPr="00693A0F">
              <w:rPr>
                <w:rFonts w:ascii="Arial" w:hAnsi="Arial" w:cs="Arial"/>
                <w:sz w:val="24"/>
                <w:szCs w:val="24"/>
                <w:vertAlign w:val="subscript"/>
              </w:rPr>
              <w:t>КС</w:t>
            </w:r>
          </w:p>
        </w:tc>
        <w:tc>
          <w:tcPr>
            <w:tcW w:w="536" w:type="dxa"/>
            <w:gridSpan w:val="2"/>
            <w:hideMark/>
          </w:tcPr>
          <w:p w:rsidR="00693A0F" w:rsidRPr="00693A0F" w:rsidRDefault="00693A0F">
            <w:pPr>
              <w:spacing w:after="0"/>
              <w:ind w:left="-337" w:firstLine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7740" w:type="dxa"/>
            <w:hideMark/>
          </w:tcPr>
          <w:p w:rsidR="00693A0F" w:rsidRPr="00693A0F" w:rsidRDefault="00693A0F">
            <w:pPr>
              <w:spacing w:after="0"/>
              <w:ind w:left="-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инвестиции в основной капитал по организациям, </w:t>
            </w:r>
            <w:r w:rsidRPr="00693A0F">
              <w:rPr>
                <w:rFonts w:ascii="Arial" w:hAnsi="Arial" w:cs="Arial"/>
                <w:sz w:val="24"/>
                <w:szCs w:val="24"/>
              </w:rPr>
              <w:br/>
              <w:t>не относящимся  к субъектам малого предпринимательства;</w:t>
            </w:r>
          </w:p>
        </w:tc>
      </w:tr>
      <w:tr w:rsidR="00693A0F" w:rsidRPr="00693A0F" w:rsidTr="00693A0F">
        <w:tc>
          <w:tcPr>
            <w:tcW w:w="905" w:type="dxa"/>
            <w:hideMark/>
          </w:tcPr>
          <w:p w:rsidR="00693A0F" w:rsidRPr="00693A0F" w:rsidRDefault="00693A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И</w:t>
            </w:r>
            <w:r w:rsidRPr="00693A0F">
              <w:rPr>
                <w:rFonts w:ascii="Arial" w:hAnsi="Arial" w:cs="Arial"/>
                <w:sz w:val="24"/>
                <w:szCs w:val="24"/>
                <w:vertAlign w:val="subscript"/>
              </w:rPr>
              <w:t>Б</w:t>
            </w:r>
          </w:p>
        </w:tc>
        <w:tc>
          <w:tcPr>
            <w:tcW w:w="536" w:type="dxa"/>
            <w:gridSpan w:val="2"/>
            <w:hideMark/>
          </w:tcPr>
          <w:p w:rsidR="00693A0F" w:rsidRPr="00693A0F" w:rsidRDefault="00693A0F">
            <w:pPr>
              <w:spacing w:after="0"/>
              <w:ind w:left="-337" w:firstLine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7740" w:type="dxa"/>
            <w:hideMark/>
          </w:tcPr>
          <w:p w:rsidR="00693A0F" w:rsidRPr="00693A0F" w:rsidRDefault="00693A0F">
            <w:pPr>
              <w:spacing w:after="0"/>
              <w:ind w:left="-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инвестиции в основной капитал за счет бюджетов всех уровней по организациям, не относящимся к субъектам малого предпринимательства;</w:t>
            </w:r>
          </w:p>
        </w:tc>
      </w:tr>
      <w:tr w:rsidR="00693A0F" w:rsidRPr="00693A0F" w:rsidTr="00693A0F">
        <w:tc>
          <w:tcPr>
            <w:tcW w:w="905" w:type="dxa"/>
            <w:hideMark/>
          </w:tcPr>
          <w:p w:rsidR="00693A0F" w:rsidRPr="00693A0F" w:rsidRDefault="00693A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И</w:t>
            </w:r>
            <w:r w:rsidRPr="00693A0F">
              <w:rPr>
                <w:rFonts w:ascii="Arial" w:hAnsi="Arial" w:cs="Arial"/>
                <w:sz w:val="24"/>
                <w:szCs w:val="24"/>
                <w:vertAlign w:val="subscript"/>
              </w:rPr>
              <w:t>Ж</w:t>
            </w:r>
          </w:p>
        </w:tc>
        <w:tc>
          <w:tcPr>
            <w:tcW w:w="536" w:type="dxa"/>
            <w:gridSpan w:val="2"/>
            <w:hideMark/>
          </w:tcPr>
          <w:p w:rsidR="00693A0F" w:rsidRPr="00693A0F" w:rsidRDefault="00693A0F">
            <w:pPr>
              <w:spacing w:after="0"/>
              <w:ind w:left="-337" w:firstLine="3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–</w:t>
            </w:r>
          </w:p>
        </w:tc>
        <w:tc>
          <w:tcPr>
            <w:tcW w:w="7740" w:type="dxa"/>
            <w:hideMark/>
          </w:tcPr>
          <w:p w:rsidR="00693A0F" w:rsidRPr="00693A0F" w:rsidRDefault="00693A0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инвестиции в основной капитал, направленные на жилищное строительство, по организациям, не относящимся к субъектам малого предпринимательства;</w:t>
            </w:r>
          </w:p>
        </w:tc>
      </w:tr>
    </w:tbl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Источником информации являются данные формы статистического наблюдения № П-2 «Сведения об инвестициях в нефинансовые активы», размещенные </w:t>
      </w:r>
      <w:r w:rsidRPr="00693A0F">
        <w:rPr>
          <w:rFonts w:ascii="Arial" w:hAnsi="Arial" w:cs="Arial"/>
          <w:b/>
          <w:sz w:val="24"/>
          <w:szCs w:val="24"/>
        </w:rPr>
        <w:t>на отчетную дату</w:t>
      </w:r>
      <w:r w:rsidRPr="00693A0F">
        <w:rPr>
          <w:rFonts w:ascii="Arial" w:hAnsi="Arial" w:cs="Arial"/>
          <w:sz w:val="24"/>
          <w:szCs w:val="24"/>
        </w:rPr>
        <w:t xml:space="preserve">  на портале Правительства Московской области  в рамках Госзаказа на статистическую информацию.</w:t>
      </w: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Информация об объемах инвестиций вводится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органами местного самоуправления Московской области ежемесячно нарастающим итогом </w:t>
      </w:r>
      <w:r w:rsidRPr="00693A0F">
        <w:rPr>
          <w:rFonts w:ascii="Arial" w:hAnsi="Arial" w:cs="Arial"/>
          <w:b/>
          <w:sz w:val="24"/>
          <w:szCs w:val="24"/>
        </w:rPr>
        <w:t xml:space="preserve">в тысячах рублей. </w:t>
      </w: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Расчет показателя на душу населения осуществляется в системе ГАСУ МО автоматически. Показатель численности населения муниципального образования Московской области заполняется в системе Министерством экономики и финансов Московской области.</w:t>
      </w: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93A0F" w:rsidRPr="00693A0F" w:rsidRDefault="00693A0F" w:rsidP="00693A0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5.Процент заполняемости индустриального парка.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6.Количество привлеченных резидентов индустриальных парков, технопарков, промышленных площадок, единиц;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7.Количество резидентов индустриальных парков, технопарков, промышленных площадок начавших производство, единиц;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8.Количество созданных новых индустриальных парков, технопарков, промышленных площадок, единиц:</w:t>
      </w:r>
    </w:p>
    <w:p w:rsidR="00693A0F" w:rsidRPr="00693A0F" w:rsidRDefault="00693A0F" w:rsidP="00693A0F">
      <w:pPr>
        <w:pStyle w:val="a7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93A0F">
        <w:rPr>
          <w:rFonts w:ascii="Arial" w:hAnsi="Arial" w:cs="Arial"/>
          <w:b/>
          <w:sz w:val="24"/>
          <w:szCs w:val="24"/>
          <w:u w:val="single"/>
        </w:rPr>
        <w:t>Расчет показателей п.5- п.8:</w:t>
      </w:r>
    </w:p>
    <w:p w:rsidR="00693A0F" w:rsidRPr="00693A0F" w:rsidRDefault="00693A0F" w:rsidP="00693A0F">
      <w:pPr>
        <w:pStyle w:val="a7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  <w:bCs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lastRenderedPageBreak/>
        <w:t xml:space="preserve">Создание новых промышленных площадок, индустриальных парков, технопарков и привлечение новых резидентов во вновь </w:t>
      </w:r>
      <w:proofErr w:type="gramStart"/>
      <w:r w:rsidRPr="00693A0F">
        <w:rPr>
          <w:rFonts w:ascii="Arial" w:hAnsi="Arial" w:cs="Arial"/>
          <w:sz w:val="24"/>
          <w:szCs w:val="24"/>
        </w:rPr>
        <w:t>созданные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/действующие – формируется  как интегральный показатель.  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Информация вносится  нарастающим  итогом за отчетный период. Базовое значение показателя по всем муниципальным районам Московской области на 01.01.2018 принимается равным нулю.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Рейтинг осуществляется по количеству начисленных </w:t>
      </w:r>
      <w:r w:rsidRPr="00693A0F">
        <w:rPr>
          <w:rFonts w:ascii="Arial" w:hAnsi="Arial" w:cs="Arial"/>
          <w:bCs/>
          <w:sz w:val="24"/>
          <w:szCs w:val="24"/>
        </w:rPr>
        <w:t>муниципальному образованию</w:t>
      </w:r>
      <w:r w:rsidRPr="00693A0F">
        <w:rPr>
          <w:rFonts w:ascii="Arial" w:hAnsi="Arial" w:cs="Arial"/>
          <w:sz w:val="24"/>
          <w:szCs w:val="24"/>
        </w:rPr>
        <w:t xml:space="preserve"> Московской области баллов, </w:t>
      </w:r>
      <w:r w:rsidRPr="00693A0F">
        <w:rPr>
          <w:rFonts w:ascii="Arial" w:hAnsi="Arial" w:cs="Arial"/>
          <w:bCs/>
          <w:sz w:val="24"/>
          <w:szCs w:val="24"/>
        </w:rPr>
        <w:t>в соответствии с таблицей:</w:t>
      </w:r>
    </w:p>
    <w:tbl>
      <w:tblPr>
        <w:tblpPr w:leftFromText="180" w:rightFromText="180" w:vertAnchor="text" w:horzAnchor="margin" w:tblpY="184"/>
        <w:tblW w:w="9315" w:type="dxa"/>
        <w:tblLayout w:type="fixed"/>
        <w:tblLook w:val="04A0" w:firstRow="1" w:lastRow="0" w:firstColumn="1" w:lastColumn="0" w:noHBand="0" w:noVBand="1"/>
      </w:tblPr>
      <w:tblGrid>
        <w:gridCol w:w="675"/>
        <w:gridCol w:w="1133"/>
        <w:gridCol w:w="3683"/>
        <w:gridCol w:w="3824"/>
      </w:tblGrid>
      <w:tr w:rsidR="00693A0F" w:rsidRPr="00693A0F" w:rsidTr="00693A0F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строки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№ показателя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Количество</w:t>
            </w:r>
          </w:p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баллов</w:t>
            </w:r>
          </w:p>
        </w:tc>
      </w:tr>
      <w:tr w:rsidR="00693A0F" w:rsidRPr="00693A0F" w:rsidTr="00693A0F">
        <w:trPr>
          <w:trHeight w:val="2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Создание новых промышленных площадок, индустриальных парков, технопарков и привлечение новых резидентов во вновь </w:t>
            </w:r>
            <w:proofErr w:type="gramStart"/>
            <w:r w:rsidRPr="00693A0F">
              <w:rPr>
                <w:rFonts w:ascii="Arial" w:hAnsi="Arial" w:cs="Arial"/>
                <w:sz w:val="24"/>
                <w:szCs w:val="24"/>
              </w:rPr>
              <w:t>созданные</w:t>
            </w:r>
            <w:proofErr w:type="gramEnd"/>
            <w:r w:rsidRPr="00693A0F">
              <w:rPr>
                <w:rFonts w:ascii="Arial" w:hAnsi="Arial" w:cs="Arial"/>
                <w:sz w:val="24"/>
                <w:szCs w:val="24"/>
              </w:rPr>
              <w:t xml:space="preserve">/действующие </w:t>
            </w:r>
          </w:p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Оэф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693A0F" w:rsidRDefault="00693A0F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Общий уровень эффективности создания новых промышленных площадок, индустриальных парков, технопарков и привлечение новых резидентов </w:t>
            </w:r>
            <w:proofErr w:type="gramStart"/>
            <w:r w:rsidRPr="00693A0F">
              <w:rPr>
                <w:rFonts w:ascii="Arial" w:hAnsi="Arial" w:cs="Arial"/>
                <w:sz w:val="24"/>
                <w:szCs w:val="24"/>
              </w:rPr>
              <w:t>во</w:t>
            </w:r>
            <w:proofErr w:type="gramEnd"/>
            <w:r w:rsidRPr="00693A0F">
              <w:rPr>
                <w:rFonts w:ascii="Arial" w:hAnsi="Arial" w:cs="Arial"/>
                <w:sz w:val="24"/>
                <w:szCs w:val="24"/>
              </w:rPr>
              <w:t xml:space="preserve"> вновь созданные/действующие по муниципальному образованию определяется по формуле:</w:t>
            </w:r>
          </w:p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Оэф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= </w:t>
            </w:r>
            <w:proofErr w:type="spellStart"/>
            <w:proofErr w:type="gramStart"/>
            <w:r w:rsidRPr="00693A0F"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 w:rsidRPr="00693A0F">
              <w:rPr>
                <w:rFonts w:ascii="Arial" w:hAnsi="Arial" w:cs="Arial"/>
                <w:sz w:val="24"/>
                <w:szCs w:val="24"/>
              </w:rPr>
              <w:t xml:space="preserve"> x 0,7 +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0,3</w:t>
            </w:r>
          </w:p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Оценка деятельности ОМСУ</w:t>
            </w:r>
            <w:r w:rsidRPr="00693A0F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 w:rsidRPr="00693A0F">
              <w:rPr>
                <w:rFonts w:ascii="Arial" w:hAnsi="Arial" w:cs="Arial"/>
                <w:sz w:val="24"/>
                <w:szCs w:val="24"/>
              </w:rPr>
              <w:t xml:space="preserve"> по привлечению резидентов на территорию индустриальных парков за отчетный период (</w:t>
            </w:r>
            <w:proofErr w:type="spellStart"/>
            <w:proofErr w:type="gramStart"/>
            <w:r w:rsidRPr="00693A0F"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 w:rsidRPr="00693A0F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693A0F">
              <w:rPr>
                <w:rFonts w:ascii="Arial" w:hAnsi="Arial" w:cs="Arial"/>
                <w:sz w:val="24"/>
                <w:szCs w:val="24"/>
              </w:rPr>
              <w:t>Опр</w:t>
            </w:r>
            <w:proofErr w:type="spellEnd"/>
            <w:proofErr w:type="gramEnd"/>
            <w:r w:rsidRPr="00693A0F">
              <w:rPr>
                <w:rFonts w:ascii="Arial" w:hAnsi="Arial" w:cs="Arial"/>
                <w:sz w:val="24"/>
                <w:szCs w:val="24"/>
              </w:rPr>
              <w:t>=(</w:t>
            </w:r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 ПЗ *0,4 +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ИПпр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*0,05 +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ИПнп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*0,09 +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ИПрм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*0,06 +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ТПпр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*0,05 +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ТПнп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>*0,09 +</w:t>
            </w:r>
          </w:p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ТПрм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*0,06 +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ППпр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>*0,05 +</w:t>
            </w:r>
          </w:p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ППнп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*0,09 +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ППрм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>*0,06</w:t>
            </w:r>
          </w:p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Процент заполняемости индустриального парка,% = </w:t>
            </w:r>
          </w:p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Строка 5*100/(Строка 4-Строка 6)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ПЗ= </w:t>
            </w:r>
            <w:r w:rsidRPr="00693A0F">
              <w:rPr>
                <w:rFonts w:ascii="Arial" w:hAnsi="Arial" w:cs="Arial"/>
                <w:sz w:val="24"/>
                <w:szCs w:val="24"/>
              </w:rPr>
              <w:t>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Общая площадь индустриального парка, </w:t>
            </w:r>
            <w:proofErr w:type="gramStart"/>
            <w:r w:rsidRPr="00693A0F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Площадь индустриального парка, занятая резидентами, </w:t>
            </w:r>
            <w:proofErr w:type="gramStart"/>
            <w:r w:rsidRPr="00693A0F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Площадь индустриального парка, предназначенная для  объектов инфраструктуры, </w:t>
            </w:r>
            <w:proofErr w:type="gramStart"/>
            <w:r w:rsidRPr="00693A0F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Х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привлеченных резидентов индустриальных 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ИПпр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резидентов индустриальных парков, начавших промышленное производство,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ИПнп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созданных новых рабочих мест на территории индустриальных парков, 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ИПрм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привлеченных резидентов технопарков,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ТПпр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резидентов на территории технопарков, начавших производство,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ТПнп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созданных новых рабочих мест на территории  технопарков,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ТПрм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привлеченных резидентов на территорию промышленных площадок,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ППпр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Сип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резидентов на территории промышленных площадок, начавших производство,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ППнп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2.1.13.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 xml:space="preserve">Количество созданных новых рабочих мест на территории   промышленных площадок, </w:t>
            </w:r>
            <w:r w:rsidRPr="00693A0F"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lastRenderedPageBreak/>
              <w:t>ППрм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Оценка деятельности ОМСУ по созданию новых промышленных площадок, индустриальных парков, технопарков, баллов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Оснп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 =</w:t>
            </w:r>
            <w:r w:rsidRPr="00693A0F">
              <w:rPr>
                <w:rFonts w:ascii="Arial" w:hAnsi="Arial" w:cs="Arial"/>
                <w:sz w:val="24"/>
                <w:szCs w:val="24"/>
              </w:rPr>
              <w:t xml:space="preserve"> Сип</w:t>
            </w:r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 *0,4+</w:t>
            </w:r>
            <w:r w:rsidRPr="00693A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 *0,4 +</w:t>
            </w:r>
            <w:r w:rsidRPr="00693A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Спп</w:t>
            </w:r>
            <w:proofErr w:type="spellEnd"/>
            <w:r w:rsidRPr="00693A0F">
              <w:rPr>
                <w:rFonts w:ascii="Arial" w:hAnsi="Arial" w:cs="Arial"/>
                <w:bCs/>
                <w:sz w:val="24"/>
                <w:szCs w:val="24"/>
              </w:rPr>
              <w:t xml:space="preserve"> *0,2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созданных новых индустриальных 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Сип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созданных новых технопарков,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  <w:tr w:rsidR="00693A0F" w:rsidRPr="00693A0F" w:rsidTr="00693A0F">
        <w:trPr>
          <w:trHeight w:val="5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bCs/>
                <w:sz w:val="24"/>
                <w:szCs w:val="24"/>
              </w:rPr>
              <w:t>2.2.3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pStyle w:val="a7"/>
              <w:ind w:left="0"/>
              <w:rPr>
                <w:rFonts w:ascii="Arial" w:hAnsi="Arial" w:cs="Arial"/>
                <w:sz w:val="24"/>
                <w:szCs w:val="24"/>
              </w:rPr>
            </w:pPr>
            <w:r w:rsidRPr="00693A0F">
              <w:rPr>
                <w:rFonts w:ascii="Arial" w:hAnsi="Arial" w:cs="Arial"/>
                <w:sz w:val="24"/>
                <w:szCs w:val="24"/>
              </w:rPr>
              <w:t>Количество созданных новых  промышленных площадок, единиц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A0F" w:rsidRPr="00693A0F" w:rsidRDefault="00693A0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Спп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= (Ас - Амин) / (</w:t>
            </w:r>
            <w:proofErr w:type="spellStart"/>
            <w:r w:rsidRPr="00693A0F">
              <w:rPr>
                <w:rFonts w:ascii="Arial" w:hAnsi="Arial" w:cs="Arial"/>
                <w:sz w:val="24"/>
                <w:szCs w:val="24"/>
              </w:rPr>
              <w:t>Амакс</w:t>
            </w:r>
            <w:proofErr w:type="spellEnd"/>
            <w:r w:rsidRPr="00693A0F">
              <w:rPr>
                <w:rFonts w:ascii="Arial" w:hAnsi="Arial" w:cs="Arial"/>
                <w:sz w:val="24"/>
                <w:szCs w:val="24"/>
              </w:rPr>
              <w:t xml:space="preserve"> - Амин),</w:t>
            </w:r>
          </w:p>
        </w:tc>
      </w:tr>
    </w:tbl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где: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Ас - значение показателя по муниципальному образованию за отчетный год;</w:t>
      </w:r>
    </w:p>
    <w:p w:rsidR="00693A0F" w:rsidRPr="00693A0F" w:rsidRDefault="00693A0F" w:rsidP="00693A0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Амин - минимальное значение показателя из значений по всем муниципальным образованиям за отчетный год;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Амакс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- максимальное значение показателя из значений по всем муниципальным образованиям за отчетный год;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</w:p>
    <w:p w:rsidR="00693A0F" w:rsidRPr="00693A0F" w:rsidRDefault="00693A0F" w:rsidP="00693A0F">
      <w:pPr>
        <w:pStyle w:val="a7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  <w:vertAlign w:val="superscript"/>
        </w:rPr>
        <w:t>1</w:t>
      </w:r>
      <w:r w:rsidRPr="00693A0F">
        <w:rPr>
          <w:rFonts w:ascii="Arial" w:hAnsi="Arial" w:cs="Arial"/>
          <w:sz w:val="24"/>
          <w:szCs w:val="24"/>
        </w:rPr>
        <w:t xml:space="preserve"> органы местного самоуправления Московской области.</w:t>
      </w:r>
    </w:p>
    <w:p w:rsidR="00693A0F" w:rsidRPr="00693A0F" w:rsidRDefault="00693A0F" w:rsidP="00693A0F">
      <w:pPr>
        <w:pStyle w:val="a7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6" w:history="1">
        <w:r w:rsidRPr="00693A0F">
          <w:rPr>
            <w:rStyle w:val="a3"/>
            <w:rFonts w:ascii="Arial" w:hAnsi="Arial" w:cs="Arial"/>
            <w:color w:val="auto"/>
            <w:sz w:val="24"/>
            <w:szCs w:val="24"/>
          </w:rPr>
          <w:t>https://www.gisip.ru</w:t>
        </w:r>
      </w:hyperlink>
      <w:r w:rsidRPr="00693A0F">
        <w:rPr>
          <w:rFonts w:ascii="Arial" w:hAnsi="Arial" w:cs="Arial"/>
          <w:sz w:val="24"/>
          <w:szCs w:val="24"/>
        </w:rPr>
        <w:t>).</w:t>
      </w: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Учитывается количество резидентов многофункциональных индустриальных парков, индустриальных (промышленных) парков, технопарков,  промышленных площадок на территории муниципальных образований Московской области</w:t>
      </w:r>
      <w:r w:rsidRPr="00693A0F">
        <w:rPr>
          <w:rFonts w:ascii="Arial" w:hAnsi="Arial" w:cs="Arial"/>
          <w:sz w:val="24"/>
          <w:szCs w:val="24"/>
        </w:rPr>
        <w:br/>
        <w:t>по состоянию на отчетную дату с планируемым объемом инвестиций не менее</w:t>
      </w:r>
      <w:r w:rsidRPr="00693A0F">
        <w:rPr>
          <w:rFonts w:ascii="Arial" w:hAnsi="Arial" w:cs="Arial"/>
          <w:sz w:val="24"/>
          <w:szCs w:val="24"/>
        </w:rPr>
        <w:br/>
        <w:t xml:space="preserve"> 20 миллионов рублей в течение трех лет (не включаются резиденты, ведущие свою деятельность в сферах торговли, сельского хозяйства и услуги). </w:t>
      </w: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графе «Примечания» системы ГАСУ МО ежемесячно заполняются данные</w:t>
      </w:r>
      <w:r w:rsidRPr="00693A0F">
        <w:rPr>
          <w:rFonts w:ascii="Arial" w:hAnsi="Arial" w:cs="Arial"/>
          <w:sz w:val="24"/>
          <w:szCs w:val="24"/>
        </w:rPr>
        <w:br/>
        <w:t>о привлеченных резидентах: наименование резидента, территория размещения,</w:t>
      </w:r>
      <w:r w:rsidRPr="00693A0F">
        <w:rPr>
          <w:rFonts w:ascii="Arial" w:hAnsi="Arial" w:cs="Arial"/>
          <w:sz w:val="24"/>
          <w:szCs w:val="24"/>
        </w:rPr>
        <w:br/>
        <w:t>а также об индустриальных парках,  технопарках и промышленных площадках.</w:t>
      </w:r>
    </w:p>
    <w:p w:rsidR="00693A0F" w:rsidRPr="00693A0F" w:rsidRDefault="00693A0F" w:rsidP="00693A0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Резидент – юридическое лицо или индивидуальный предприниматель, заключившие с управляющей компанией или иными лицами многофункциональных индустриальных парков, индустриальных (промышленных) парков, технопарков,  промышленных площадок договор аренды (более 12 месяцев) и (или) договор купли-продажи объектов промышленной </w:t>
      </w:r>
      <w:r w:rsidRPr="00693A0F">
        <w:rPr>
          <w:rFonts w:ascii="Arial" w:hAnsi="Arial" w:cs="Arial"/>
          <w:sz w:val="24"/>
          <w:szCs w:val="24"/>
        </w:rPr>
        <w:lastRenderedPageBreak/>
        <w:t>инфраструктуры или их частей и (или) земельного участка, в целях ведения предпринимательской деятельности.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Созданный индустриальный парк – многофункциональный  индустриальный парк, объекты промышленной, транспортно-логистической и иной инфраструктуры, предназначенные для создания или модернизации промышленного производства, оказания услуг по складированию и хранению, обработке грузов, вспомогательных транспортных услуг, которого находятся на этапе строительства, модернизации и (или) реконструкции имеющий концепцию развития и соответствующий следующим требованиям: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1) на территории создаваемого многофункционального индустриального парка размещены и (или) запланированы к размещению: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объекты недвижимого имущества для обеспечения движения транспортных средств резидентов или потенциальных резидентов многофункционального индустриального парка, а также иных лиц, обслуживающих объекты коммунальной инфраструктуры многофункционального индустриального парка;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системы коммуникаций и объекты водоснабжения, водоотведения, теплоснабжения, электроснабжения и газоснабжения, связи, обеспечивающие деятельность резидентов или потенциальных резидентов многофункционального индустриального парка;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иные здания, строения и сооружения, предназначенные для создания промышленного производства или модернизации промышленного производства, оказания услуг по складированию и хранению, обработке грузов, вспомогательных транспортных услуг резидентов или потенциальных резидентов многофункционального индустриального парка;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2) территория создаваемого многофункционального индустриального (промышленного) парка отвечает следующим требованиям: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земельные участки, составляющие территорию многофункционального индустриального парка должны быть смежными (т.е. иметь хотя бы одну общую границу </w:t>
      </w:r>
      <w:proofErr w:type="gramStart"/>
      <w:r w:rsidRPr="00693A0F">
        <w:rPr>
          <w:rFonts w:ascii="Arial" w:hAnsi="Arial" w:cs="Arial"/>
          <w:sz w:val="24"/>
          <w:szCs w:val="24"/>
        </w:rPr>
        <w:t>с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3A0F">
        <w:rPr>
          <w:rFonts w:ascii="Arial" w:hAnsi="Arial" w:cs="Arial"/>
          <w:sz w:val="24"/>
          <w:szCs w:val="24"/>
        </w:rPr>
        <w:t>другим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многофункционального индустриального парка), либо располагаться на расстоянии не далее 2 км от ближайшего к ним земельного участка, составляющего территорию многофункционального индустриального парка;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площадь парка составляет не менее 8 га;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состав территории парка входят земельные участки, относящиеся</w:t>
      </w:r>
      <w:r w:rsidRPr="00693A0F">
        <w:rPr>
          <w:rFonts w:ascii="Arial" w:hAnsi="Arial" w:cs="Arial"/>
          <w:sz w:val="24"/>
          <w:szCs w:val="24"/>
        </w:rPr>
        <w:br/>
        <w:t>к категории земель промышленности и (или) земель поселений, на которых допускается и (или) планируется размещение промышленной инфраструктуры;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не менее 25 процентов территории предназначено для размещения и ведения промышленного производства резидентов (потенциальных резидентов);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обеспечена и (или) запланирована обеспечением проложенной до границы территории парка автомобильной дороги обычного типа, примыкающей к дороге федерального, регионального или местного значения, а также с въездом на территорию парка с указанной автомобильной дороги;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3) коммунальная инфраструктура создаваемого многофункционального индустриального  парка отвечает следующим требованиям:</w:t>
      </w:r>
    </w:p>
    <w:p w:rsidR="00693A0F" w:rsidRPr="00693A0F" w:rsidRDefault="00693A0F" w:rsidP="00693A0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93A0F">
        <w:rPr>
          <w:rFonts w:ascii="Arial" w:hAnsi="Arial" w:cs="Arial"/>
          <w:sz w:val="24"/>
          <w:szCs w:val="24"/>
        </w:rPr>
        <w:lastRenderedPageBreak/>
        <w:t>наличие на территории точки присоединения потребителей к электрической энергии максимальной мощностью не менее 1 МВт, но не менее 0,10 МВт свободной максимальной мощности на каждый свободный гектар площади территории многофункционального индустриального парка или наличие действующих технических условий на технологическое присоединение потребителей к электрической энергии, или наличие собственных объектов по производству электрической энергии, или наличие согласованного в установленном порядке проекта создания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собственных объектов по производству электрической энергии и технических условий на технологическое присоединение потребителей к электрической энергии, или наличие подтверждающего письма от </w:t>
      </w:r>
      <w:proofErr w:type="spellStart"/>
      <w:r w:rsidRPr="00693A0F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наличие существующего подключения потребителей к сетям газоснабжения и (или) к сетям теплоснабжения, или наличие действующих технических условий на подключение потребителей к сетям газоснабжения и (или) к сетям теплоснабжения, или наличие собственных объектов газоснабжения и (или) теплоснабжения</w:t>
      </w:r>
      <w:proofErr w:type="gramStart"/>
      <w:r w:rsidRPr="00693A0F">
        <w:rPr>
          <w:rFonts w:ascii="Arial" w:hAnsi="Arial" w:cs="Arial"/>
          <w:sz w:val="24"/>
          <w:szCs w:val="24"/>
        </w:rPr>
        <w:t>.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3A0F">
        <w:rPr>
          <w:rFonts w:ascii="Arial" w:hAnsi="Arial" w:cs="Arial"/>
          <w:sz w:val="24"/>
          <w:szCs w:val="24"/>
        </w:rPr>
        <w:t>и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ли наличие согласованного в установленном порядке проекта создания собственных объектов газоснабжения и (или) теплоснабжения или наличие подтверждающего письма от </w:t>
      </w:r>
      <w:proofErr w:type="spellStart"/>
      <w:r w:rsidRPr="00693A0F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693A0F">
        <w:rPr>
          <w:rFonts w:ascii="Arial" w:hAnsi="Arial" w:cs="Arial"/>
          <w:sz w:val="24"/>
          <w:szCs w:val="24"/>
        </w:rPr>
        <w:t xml:space="preserve">наличие существующего подключения потребителей к системе водоснабжения и водоотведения, или наличие технических условий на подключение потребителей к системе водоснабжения и водоотведения, или наличие собственных объектов водоснабжения и водоотведения, или наличие согласованного в установленном порядке проекта создания собственных объектов системы водоснабжения и водоотведения, или наличие подтверждающего письма от </w:t>
      </w:r>
      <w:proofErr w:type="spellStart"/>
      <w:r w:rsidRPr="00693A0F">
        <w:rPr>
          <w:rFonts w:ascii="Arial" w:hAnsi="Arial" w:cs="Arial"/>
          <w:sz w:val="24"/>
          <w:szCs w:val="24"/>
        </w:rPr>
        <w:t>ресурсоснабжающей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</w:t>
      </w:r>
      <w:proofErr w:type="gramEnd"/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Созданный технопарк (технологический парк)  – часть территории Московской области с расположенным на ней имущественным комплексом, состоящим из объектов коммунальной, транспортной и технологической инфраструктуры, обеспечивающим полный цикл услуг по размещению и развитию промышленных и (или) инновационных компаний, являющихся резидентами технопарка, и управляемая управляющей компанией.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Основные критерии для отнесения объекта к технопарку: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1. Наличие информации о технопарке в ГИСИП.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2. Наличие комплекса объектов </w:t>
      </w:r>
      <w:proofErr w:type="gramStart"/>
      <w:r w:rsidRPr="00693A0F">
        <w:rPr>
          <w:rFonts w:ascii="Arial" w:hAnsi="Arial" w:cs="Arial"/>
          <w:sz w:val="24"/>
          <w:szCs w:val="24"/>
        </w:rPr>
        <w:t>коммунальной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, транспортной 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и технологической инфраструктуры для размещения высокотехнологичных компаний (резидентов).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3. Наличие управляющей компании, которая распоряжается имущественным комплексом технопарка на праве собственности или аренды, и оказывает услуги резидентам технопарка.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4. Общая площадь зданий и сооружений технопарка составляет не менее               5 000 кв. м.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5. Наличие не менее 5 резидентов, ведущих деятельность на территории технопарка, имеющих выручку от деятельности и уплачивающих налоги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на отчетную дату.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lastRenderedPageBreak/>
        <w:t>6. Наличие не менее 1 объекта технологической инфраструктуры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из следующего перечня: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</w:r>
      <w:proofErr w:type="spellStart"/>
      <w:r w:rsidRPr="00693A0F">
        <w:rPr>
          <w:rFonts w:ascii="Arial" w:hAnsi="Arial" w:cs="Arial"/>
          <w:sz w:val="24"/>
          <w:szCs w:val="24"/>
        </w:rPr>
        <w:t>Коворкинг</w:t>
      </w:r>
      <w:proofErr w:type="spellEnd"/>
      <w:r w:rsidRPr="00693A0F">
        <w:rPr>
          <w:rFonts w:ascii="Arial" w:hAnsi="Arial" w:cs="Arial"/>
          <w:sz w:val="24"/>
          <w:szCs w:val="24"/>
        </w:rPr>
        <w:t>-центр;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  <w:t xml:space="preserve">Центр коллективного пользования научным оборудованием;    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  <w:t>Центр коллективного пользования опытно-промышленным оборудованием;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  <w:t xml:space="preserve">Лаборатория;    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  <w:t xml:space="preserve">Виварий;    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</w:r>
      <w:proofErr w:type="spellStart"/>
      <w:r w:rsidRPr="00693A0F">
        <w:rPr>
          <w:rFonts w:ascii="Arial" w:hAnsi="Arial" w:cs="Arial"/>
          <w:sz w:val="24"/>
          <w:szCs w:val="24"/>
        </w:rPr>
        <w:t>Инновационно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-технологический центр;    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  <w:t xml:space="preserve">Центр аддитивных технологий;    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  <w:t xml:space="preserve">Чистые комнаты;    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·</w:t>
      </w:r>
      <w:r w:rsidRPr="00693A0F">
        <w:rPr>
          <w:rFonts w:ascii="Arial" w:hAnsi="Arial" w:cs="Arial"/>
          <w:sz w:val="24"/>
          <w:szCs w:val="24"/>
        </w:rPr>
        <w:tab/>
        <w:t xml:space="preserve">Дата центр.    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Созданная промышленная площадка – промышленная площадка,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693A0F">
        <w:rPr>
          <w:rFonts w:ascii="Arial" w:hAnsi="Arial" w:cs="Arial"/>
          <w:sz w:val="24"/>
          <w:szCs w:val="24"/>
        </w:rPr>
        <w:t>пределах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которой находятся на этапе строительства, модернизации и (или) реконструкции объекты капитального строительства промышленной инфраструктуры и соответствующая следующим требованиям: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1) территория промышленной площадки отвечает следующим требованиям: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территория определена, имеет границы;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земельные участки, составляющие территорию промышленной площадки, должны быть смежными (т.е. иметь хотя бы одну общую границу </w:t>
      </w:r>
      <w:proofErr w:type="gramStart"/>
      <w:r w:rsidRPr="00693A0F">
        <w:rPr>
          <w:rFonts w:ascii="Arial" w:hAnsi="Arial" w:cs="Arial"/>
          <w:sz w:val="24"/>
          <w:szCs w:val="24"/>
        </w:rPr>
        <w:t>с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3A0F">
        <w:rPr>
          <w:rFonts w:ascii="Arial" w:hAnsi="Arial" w:cs="Arial"/>
          <w:sz w:val="24"/>
          <w:szCs w:val="24"/>
        </w:rPr>
        <w:t>другим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промышленной площадки), либо располагаться на расстоянии не далее 100 м от ближайшего к ним земельного участка, составляющего территорию промышленной площадки;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площадь составляет не менее 4 га;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состав территории промышленной площадки входят земельные участки, относящиеся к категории земель промышленности и (или) земель поселений,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на </w:t>
      </w:r>
      <w:proofErr w:type="gramStart"/>
      <w:r w:rsidRPr="00693A0F">
        <w:rPr>
          <w:rFonts w:ascii="Arial" w:hAnsi="Arial" w:cs="Arial"/>
          <w:sz w:val="24"/>
          <w:szCs w:val="24"/>
        </w:rPr>
        <w:t>которых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допускается размещение промышленной инфраструктуры;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не менее 75 процентов территории промышленной площадки предназначено для размещения и ведения промышленного производства резидентов (потенциальных резидентов);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2) коммунальная инфраструктура промышленной площадки отвечает следующим требованиям: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наличие на территории промышленной площадки точки присоединения потребителей к электрической энергии или наличие действующих технических условий на технологическое присоединение потребителей к электрической энергии;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на подключение потребителей к сетям газоснабжения и (или) к сетям теплоснабжения;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на подключение потребителей к системе водоснабжения и водоотведения (при необходимости);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9.</w:t>
      </w:r>
      <w:r w:rsidRPr="00693A0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3A0F">
        <w:rPr>
          <w:rFonts w:ascii="Arial" w:hAnsi="Arial" w:cs="Arial"/>
          <w:b/>
          <w:sz w:val="24"/>
          <w:szCs w:val="24"/>
        </w:rPr>
        <w:t>«Зарплата без долгов</w:t>
      </w:r>
      <w:r w:rsidRPr="00693A0F">
        <w:rPr>
          <w:rFonts w:ascii="Arial" w:hAnsi="Arial" w:cs="Arial"/>
          <w:sz w:val="24"/>
          <w:szCs w:val="24"/>
        </w:rPr>
        <w:t xml:space="preserve"> (Задолженность по выплате заработной платы (количество организаций, численность работников и сумма задолженности)».</w:t>
      </w:r>
      <w:proofErr w:type="gramEnd"/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Источник информации для расчета показателя «Зарплата без долгов «Задолженность по выплате заработной платы (количество организаций, численность работников и сумма задолженности)» является информация, </w:t>
      </w:r>
      <w:r w:rsidRPr="00693A0F">
        <w:rPr>
          <w:rFonts w:ascii="Arial" w:hAnsi="Arial" w:cs="Arial"/>
          <w:sz w:val="24"/>
          <w:szCs w:val="24"/>
        </w:rPr>
        <w:lastRenderedPageBreak/>
        <w:t xml:space="preserve">размещенная на портале ГАС «Управление» муниципальными районами, городскими округами Московской области, а также </w:t>
      </w:r>
      <w:proofErr w:type="gramStart"/>
      <w:r w:rsidRPr="00693A0F">
        <w:rPr>
          <w:rFonts w:ascii="Arial" w:hAnsi="Arial" w:cs="Arial"/>
          <w:sz w:val="24"/>
          <w:szCs w:val="24"/>
        </w:rPr>
        <w:t>информация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предоставленная Государственной инспекцией труда в Московской области.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Оценка выполнения показателя основывается по следующим критериям: о наличие задолженности в организациях, осуществляющих деятельность на территории муниципального образования;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°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° количество работников, перед которыми имеется задолженность по заработной плате;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° наличие задолженности по заработной плате в муниципальных учреждениях и предприятиях, а также в организациях с муниципальной долей собственности;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° наличие организаций с задолженностью по заработной плате свыше 25 млн. рублей.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Рейтинг муниципальных образований Московской области рассчитывается по сумме баллов по пяти критериям, где первое место присваивается тому муниципальному образованию Московской области, которое получило наименьшее количество баллов.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При не предоставлении муниципальным образованием Московской области данных (части данных), необходимых для расчета значений показателя или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693A0F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недостоверных данных, муниципальному образованию присваивается последнее место по показателю.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Единица измерения: баллы.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Расчет показателя: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Z = Z1 + Z2 + Z3 + Z4 + Z5, где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Z -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Z1 - сумма задолженности в организациях, осуществляющих деятельность на территории муниципального образования,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Z2 - количество организаций, осуществляющих деятельность на территории муниципального образования, допустивших задолженность по заработной плате,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Z3 - количество работников, перед которыми имеется задолженность по заработной плате,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Z4 -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Z5 - количество организаций с задолженностью по заработной плате свыше                             25 млн. рублей.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При отсутствии задолженности по заработной плате на территории муниципального образования показатель Z равен 5 баллам.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Расчет баллов по критерию Z1: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при отсутствии задолженности в организациях, расположенных на территории муниципального образования: 1 балл,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при наличии задолженности в организациях, расположенных на территории муниципального образования: выстраивается рейтинг по критерию Z1 в </w:t>
      </w:r>
      <w:r w:rsidRPr="00693A0F">
        <w:rPr>
          <w:rFonts w:ascii="Arial" w:hAnsi="Arial" w:cs="Arial"/>
          <w:sz w:val="24"/>
          <w:szCs w:val="24"/>
        </w:rPr>
        <w:lastRenderedPageBreak/>
        <w:t xml:space="preserve">зависимости от суммы задолженности от наименьшего значения </w:t>
      </w:r>
      <w:proofErr w:type="gramStart"/>
      <w:r w:rsidRPr="00693A0F">
        <w:rPr>
          <w:rFonts w:ascii="Arial" w:hAnsi="Arial" w:cs="Arial"/>
          <w:sz w:val="24"/>
          <w:szCs w:val="24"/>
        </w:rPr>
        <w:t>к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наименьшую сумму задолженности, присваивается 2 балла, далее к 2 баллам прибавляется по 1 баллу за каждый уровень рейтинга критерия Z1.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Расчет баллов по критерию Z2: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при отсутствии организаций, имеющих задолженность по выплате заработной платы: 1 балл,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при наличии организаций, имеющих задолженность по выплате заработной платы: выстраивается рейтинг по критерию Z2 в зависимости от количества организаций от наименьшего значения </w:t>
      </w:r>
      <w:proofErr w:type="gramStart"/>
      <w:r w:rsidRPr="00693A0F">
        <w:rPr>
          <w:rFonts w:ascii="Arial" w:hAnsi="Arial" w:cs="Arial"/>
          <w:sz w:val="24"/>
          <w:szCs w:val="24"/>
        </w:rPr>
        <w:t>к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организаций, присваивается 2 балла, далее к 2 баллам прибавляется по 1 баллу за каждый уровень рейтинга критерия Z2.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Расчет баллов по критерию Z3: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при отсутствии задолженности: 1 балл,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при наличии работников, перед которыми имеется задолженность по выплате заработной платы: выстраивается рейтинг по критерию Z3 в зависимости от количества работников, перед которыми имеется задолженность по выплате заработной платы от наименьшего значения </w:t>
      </w:r>
      <w:proofErr w:type="gramStart"/>
      <w:r w:rsidRPr="00693A0F">
        <w:rPr>
          <w:rFonts w:ascii="Arial" w:hAnsi="Arial" w:cs="Arial"/>
          <w:sz w:val="24"/>
          <w:szCs w:val="24"/>
        </w:rPr>
        <w:t>к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работников, перед которыми имеется задолженность по выплате заработной платы, присваивается 2 балла, далее к 2 баллам прибавляется по 1 баллу за каждый уровень рейтинга критерия Z3.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Расчет баллов по критерию Z4: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при отсутствии задолженности по заработной плате в муниципальных учреждениях и предприятиях, а также организациях с муниципальной долей собственности: 1 балл,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при наличии задолженности по заработной плате в муниципальных учреждениях и предприятиях, а также организациях с муниципальной долей собственности: выстраивается рейтинг по критерию Z4 в зависимости от количества учреждений и предприятий, а также организаций с муниципальной долей собственности, </w:t>
      </w:r>
      <w:proofErr w:type="gramStart"/>
      <w:r w:rsidRPr="00693A0F">
        <w:rPr>
          <w:rFonts w:ascii="Arial" w:hAnsi="Arial" w:cs="Arial"/>
          <w:sz w:val="24"/>
          <w:szCs w:val="24"/>
        </w:rPr>
        <w:t>имеющим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задолженность по выплате заработной платы, от наименьшего значения к наибольшему. Муниципальному образованию, имеющему задолженность по выплате заработной платы в наименьшем количестве учреждений и предприятий, а также организаций с муниципальной долей собственности, имеющих задолженность по выплате заработной платы, присваивается 2 балла, далее к 2 баллам прибавляется по 1 баллу за каждый уровень рейтинга критерия Z4.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Расчет баллов по критерию Z5: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при отсутствии организаций с задолженностью по заработной плате свыше 25 млн. рублей: 1 балл,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при наличии организаций с задолженностью по заработной плате свыше 25 млн. рублей: выстраивается рейтинг по критерию Z5 в зависимости от количества организаций с задолженностью по заработной плате свыше 25 млн. рублей от наименьшего значения </w:t>
      </w:r>
      <w:proofErr w:type="gramStart"/>
      <w:r w:rsidRPr="00693A0F">
        <w:rPr>
          <w:rFonts w:ascii="Arial" w:hAnsi="Arial" w:cs="Arial"/>
          <w:sz w:val="24"/>
          <w:szCs w:val="24"/>
        </w:rPr>
        <w:t>к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 с задолженностью по заработной </w:t>
      </w:r>
      <w:r w:rsidRPr="00693A0F">
        <w:rPr>
          <w:rFonts w:ascii="Arial" w:hAnsi="Arial" w:cs="Arial"/>
          <w:sz w:val="24"/>
          <w:szCs w:val="24"/>
        </w:rPr>
        <w:lastRenderedPageBreak/>
        <w:t>плате свыше 25 млн. рублей, присваивается 2 балла, далее к 2 баллам прибавляется по 1 баллу за каждый уровень рейтинга критерия Z5.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3A0F">
        <w:rPr>
          <w:rFonts w:ascii="Arial" w:hAnsi="Arial" w:cs="Arial"/>
          <w:b/>
          <w:sz w:val="24"/>
          <w:szCs w:val="24"/>
        </w:rPr>
        <w:t>10. Зарплата бюджетников:</w:t>
      </w:r>
    </w:p>
    <w:p w:rsidR="00693A0F" w:rsidRPr="00693A0F" w:rsidRDefault="00693A0F" w:rsidP="00693A0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Единица измерения: процент.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Оценка проводится с учетом сведений уровня достижения целевых показателей по следующим категориям работников муниципальных учреждений: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педагогические работники образовательных учреждений общего образования;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педагогические работники дошкольных образовательных учреждений;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родителей,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педагогических работников учреждений дополнительного образования детей,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работники учреждений культуры.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Оценка достижения показателя </w:t>
      </w:r>
      <w:proofErr w:type="spellStart"/>
      <w:r w:rsidRPr="00693A0F">
        <w:rPr>
          <w:rFonts w:ascii="Arial" w:hAnsi="Arial" w:cs="Arial"/>
          <w:sz w:val="24"/>
          <w:szCs w:val="24"/>
        </w:rPr>
        <w:t>Sz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осуществляется по формуле: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Sz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= (</w:t>
      </w:r>
      <w:proofErr w:type="spellStart"/>
      <w:r w:rsidRPr="00693A0F">
        <w:rPr>
          <w:rFonts w:ascii="Arial" w:hAnsi="Arial" w:cs="Arial"/>
          <w:sz w:val="24"/>
          <w:szCs w:val="24"/>
        </w:rPr>
        <w:t>Здоп+Зобщ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+</w:t>
      </w:r>
      <w:proofErr w:type="spellStart"/>
      <w:r w:rsidRPr="00693A0F">
        <w:rPr>
          <w:rFonts w:ascii="Arial" w:hAnsi="Arial" w:cs="Arial"/>
          <w:sz w:val="24"/>
          <w:szCs w:val="24"/>
        </w:rPr>
        <w:t>Здош+Зсир+Зкул</w:t>
      </w:r>
      <w:proofErr w:type="spellEnd"/>
      <w:r w:rsidRPr="00693A0F">
        <w:rPr>
          <w:rFonts w:ascii="Arial" w:hAnsi="Arial" w:cs="Arial"/>
          <w:sz w:val="24"/>
          <w:szCs w:val="24"/>
        </w:rPr>
        <w:t>) /N, где: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N – количество показателей в числителе формулы,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Здо</w:t>
      </w:r>
      <w:proofErr w:type="gramStart"/>
      <w:r w:rsidRPr="00693A0F">
        <w:rPr>
          <w:rFonts w:ascii="Arial" w:hAnsi="Arial" w:cs="Arial"/>
          <w:sz w:val="24"/>
          <w:szCs w:val="24"/>
        </w:rPr>
        <w:t>п</w:t>
      </w:r>
      <w:proofErr w:type="spellEnd"/>
      <w:r w:rsidRPr="00693A0F">
        <w:rPr>
          <w:rFonts w:ascii="Arial" w:hAnsi="Arial" w:cs="Arial"/>
          <w:sz w:val="24"/>
          <w:szCs w:val="24"/>
        </w:rPr>
        <w:t>–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образования, культуры и физической культуры и спорта,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Зоб</w:t>
      </w:r>
      <w:proofErr w:type="gramStart"/>
      <w:r w:rsidRPr="00693A0F">
        <w:rPr>
          <w:rFonts w:ascii="Arial" w:hAnsi="Arial" w:cs="Arial"/>
          <w:sz w:val="24"/>
          <w:szCs w:val="24"/>
        </w:rPr>
        <w:t>щ</w:t>
      </w:r>
      <w:proofErr w:type="spellEnd"/>
      <w:r w:rsidRPr="00693A0F">
        <w:rPr>
          <w:rFonts w:ascii="Arial" w:hAnsi="Arial" w:cs="Arial"/>
          <w:sz w:val="24"/>
          <w:szCs w:val="24"/>
        </w:rPr>
        <w:t>–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образовательных учреждений общего образования,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Здош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– значение достижения целевого показателя </w:t>
      </w:r>
      <w:proofErr w:type="gramStart"/>
      <w:r w:rsidRPr="00693A0F">
        <w:rPr>
          <w:rFonts w:ascii="Arial" w:hAnsi="Arial" w:cs="Arial"/>
          <w:sz w:val="24"/>
          <w:szCs w:val="24"/>
        </w:rPr>
        <w:t>педагогических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образовательных </w:t>
      </w:r>
      <w:proofErr w:type="spellStart"/>
      <w:r w:rsidRPr="00693A0F">
        <w:rPr>
          <w:rFonts w:ascii="Arial" w:hAnsi="Arial" w:cs="Arial"/>
          <w:sz w:val="24"/>
          <w:szCs w:val="24"/>
        </w:rPr>
        <w:t>учрежденийдошкольного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образования,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– значение достижения целевого показателя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образовательных, муниципальных медицинских организаций или муниципальных организаций, оказывающих социальные услуги детям-сиротам и детям, оставшимся без попечения родителей, сферы образования,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Зкул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– значение </w:t>
      </w:r>
      <w:proofErr w:type="gramStart"/>
      <w:r w:rsidRPr="00693A0F">
        <w:rPr>
          <w:rFonts w:ascii="Arial" w:hAnsi="Arial" w:cs="Arial"/>
          <w:sz w:val="24"/>
          <w:szCs w:val="24"/>
        </w:rPr>
        <w:t>достижения целевого показателя работников муниципальных учреждений культуры</w:t>
      </w:r>
      <w:proofErr w:type="gramEnd"/>
      <w:r w:rsidRPr="00693A0F">
        <w:rPr>
          <w:rFonts w:ascii="Arial" w:hAnsi="Arial" w:cs="Arial"/>
          <w:sz w:val="24"/>
          <w:szCs w:val="24"/>
        </w:rPr>
        <w:t>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                                 n                                     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1)</w:t>
      </w:r>
      <w:r w:rsidRPr="00693A0F">
        <w:rPr>
          <w:rFonts w:ascii="Arial" w:hAnsi="Arial" w:cs="Arial"/>
          <w:sz w:val="24"/>
          <w:szCs w:val="24"/>
        </w:rPr>
        <w:tab/>
      </w:r>
      <w:proofErr w:type="spellStart"/>
      <w:r w:rsidRPr="00693A0F">
        <w:rPr>
          <w:rFonts w:ascii="Arial" w:hAnsi="Arial" w:cs="Arial"/>
          <w:sz w:val="24"/>
          <w:szCs w:val="24"/>
        </w:rPr>
        <w:t>Здоп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= (SUM </w:t>
      </w:r>
      <w:proofErr w:type="spellStart"/>
      <w:r w:rsidRPr="00693A0F">
        <w:rPr>
          <w:rFonts w:ascii="Arial" w:hAnsi="Arial" w:cs="Arial"/>
          <w:sz w:val="24"/>
          <w:szCs w:val="24"/>
        </w:rPr>
        <w:t>Фдо</w:t>
      </w:r>
      <w:proofErr w:type="gramStart"/>
      <w:r w:rsidRPr="00693A0F">
        <w:rPr>
          <w:rFonts w:ascii="Arial" w:hAnsi="Arial" w:cs="Arial"/>
          <w:sz w:val="24"/>
          <w:szCs w:val="24"/>
        </w:rPr>
        <w:t>п</w:t>
      </w:r>
      <w:proofErr w:type="spellEnd"/>
      <w:r w:rsidRPr="00693A0F">
        <w:rPr>
          <w:rFonts w:ascii="Arial" w:hAnsi="Arial" w:cs="Arial"/>
          <w:sz w:val="24"/>
          <w:szCs w:val="24"/>
        </w:rPr>
        <w:t>(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факт) i / SUM i) / </w:t>
      </w:r>
      <w:proofErr w:type="spellStart"/>
      <w:r w:rsidRPr="00693A0F">
        <w:rPr>
          <w:rFonts w:ascii="Arial" w:hAnsi="Arial" w:cs="Arial"/>
          <w:sz w:val="24"/>
          <w:szCs w:val="24"/>
        </w:rPr>
        <w:t>Здоп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х 100%,    где: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Фдоп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 физической культуры и спорта, образования;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Здоп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</w:t>
      </w:r>
      <w:proofErr w:type="gramStart"/>
      <w:r w:rsidRPr="00693A0F">
        <w:rPr>
          <w:rFonts w:ascii="Arial" w:hAnsi="Arial" w:cs="Arial"/>
          <w:sz w:val="24"/>
          <w:szCs w:val="24"/>
        </w:rPr>
        <w:t>платы педагогических работников учреждений дополнительного образования детей Московской области</w:t>
      </w:r>
      <w:proofErr w:type="gramEnd"/>
      <w:r w:rsidRPr="00693A0F">
        <w:rPr>
          <w:rFonts w:ascii="Arial" w:hAnsi="Arial" w:cs="Arial"/>
          <w:sz w:val="24"/>
          <w:szCs w:val="24"/>
        </w:rPr>
        <w:t>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физической культуры и спорта, образования.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Фдоп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 w:rsidRPr="00693A0F">
        <w:rPr>
          <w:rFonts w:ascii="Arial" w:hAnsi="Arial" w:cs="Arial"/>
          <w:sz w:val="24"/>
          <w:szCs w:val="24"/>
        </w:rPr>
        <w:t>SUM</w:t>
      </w:r>
      <w:proofErr w:type="gramEnd"/>
      <w:r w:rsidRPr="00693A0F">
        <w:rPr>
          <w:rFonts w:ascii="Arial" w:hAnsi="Arial" w:cs="Arial"/>
          <w:sz w:val="24"/>
          <w:szCs w:val="24"/>
        </w:rPr>
        <w:t>Фдопобр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 w:rsidRPr="00693A0F">
        <w:rPr>
          <w:rFonts w:ascii="Arial" w:hAnsi="Arial" w:cs="Arial"/>
          <w:sz w:val="24"/>
          <w:szCs w:val="24"/>
        </w:rPr>
        <w:t>SUMФдопспорт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, где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Фдопобр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- фонд оплаты труда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сферы образования,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Фдопспорт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-фонд оплаты труда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сферы физической культуры и спорта.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случае</w:t>
      </w:r>
      <w:proofErr w:type="gramStart"/>
      <w:r w:rsidRPr="00693A0F">
        <w:rPr>
          <w:rFonts w:ascii="Arial" w:hAnsi="Arial" w:cs="Arial"/>
          <w:sz w:val="24"/>
          <w:szCs w:val="24"/>
        </w:rPr>
        <w:t>,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693A0F">
        <w:rPr>
          <w:rFonts w:ascii="Arial" w:hAnsi="Arial" w:cs="Arial"/>
          <w:sz w:val="24"/>
          <w:szCs w:val="24"/>
        </w:rPr>
        <w:t>Здоп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693A0F">
        <w:rPr>
          <w:rFonts w:ascii="Arial" w:hAnsi="Arial" w:cs="Arial"/>
          <w:sz w:val="24"/>
          <w:szCs w:val="24"/>
        </w:rPr>
        <w:t>Здоп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lastRenderedPageBreak/>
        <w:t xml:space="preserve">2) </w:t>
      </w:r>
      <w:proofErr w:type="spellStart"/>
      <w:r w:rsidRPr="00693A0F">
        <w:rPr>
          <w:rFonts w:ascii="Arial" w:hAnsi="Arial" w:cs="Arial"/>
          <w:sz w:val="24"/>
          <w:szCs w:val="24"/>
        </w:rPr>
        <w:t>Зобщ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693A0F">
        <w:rPr>
          <w:rFonts w:ascii="Arial" w:hAnsi="Arial" w:cs="Arial"/>
          <w:sz w:val="24"/>
          <w:szCs w:val="24"/>
        </w:rPr>
        <w:t>Фобщ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693A0F">
        <w:rPr>
          <w:rFonts w:ascii="Arial" w:hAnsi="Arial" w:cs="Arial"/>
          <w:sz w:val="24"/>
          <w:szCs w:val="24"/>
        </w:rPr>
        <w:t>Зобщ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 х 100%,    где: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Фобщ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– фактическое значение </w:t>
      </w:r>
      <w:proofErr w:type="gramStart"/>
      <w:r w:rsidRPr="00693A0F">
        <w:rPr>
          <w:rFonts w:ascii="Arial" w:hAnsi="Arial" w:cs="Arial"/>
          <w:sz w:val="24"/>
          <w:szCs w:val="24"/>
        </w:rPr>
        <w:t>фонда оплаты труда педагогических работников образовательных муниципальных учреждений общего образования</w:t>
      </w:r>
      <w:proofErr w:type="gramEnd"/>
      <w:r w:rsidRPr="00693A0F">
        <w:rPr>
          <w:rFonts w:ascii="Arial" w:hAnsi="Arial" w:cs="Arial"/>
          <w:sz w:val="24"/>
          <w:szCs w:val="24"/>
        </w:rPr>
        <w:t>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Зобщ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 учреждений общего образования Московской области;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i = 1…n – общее количество педагогических работников образовательных муниципальных учреждений общего образования.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случае</w:t>
      </w:r>
      <w:proofErr w:type="gramStart"/>
      <w:r w:rsidRPr="00693A0F">
        <w:rPr>
          <w:rFonts w:ascii="Arial" w:hAnsi="Arial" w:cs="Arial"/>
          <w:sz w:val="24"/>
          <w:szCs w:val="24"/>
        </w:rPr>
        <w:t>,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693A0F">
        <w:rPr>
          <w:rFonts w:ascii="Arial" w:hAnsi="Arial" w:cs="Arial"/>
          <w:sz w:val="24"/>
          <w:szCs w:val="24"/>
        </w:rPr>
        <w:t>Зобщ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693A0F">
        <w:rPr>
          <w:rFonts w:ascii="Arial" w:hAnsi="Arial" w:cs="Arial"/>
          <w:sz w:val="24"/>
          <w:szCs w:val="24"/>
        </w:rPr>
        <w:t>Зобщ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3) </w:t>
      </w:r>
      <w:proofErr w:type="spellStart"/>
      <w:r w:rsidRPr="00693A0F">
        <w:rPr>
          <w:rFonts w:ascii="Arial" w:hAnsi="Arial" w:cs="Arial"/>
          <w:sz w:val="24"/>
          <w:szCs w:val="24"/>
        </w:rPr>
        <w:t>Здош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693A0F">
        <w:rPr>
          <w:rFonts w:ascii="Arial" w:hAnsi="Arial" w:cs="Arial"/>
          <w:sz w:val="24"/>
          <w:szCs w:val="24"/>
        </w:rPr>
        <w:t>Фдош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693A0F">
        <w:rPr>
          <w:rFonts w:ascii="Arial" w:hAnsi="Arial" w:cs="Arial"/>
          <w:sz w:val="24"/>
          <w:szCs w:val="24"/>
        </w:rPr>
        <w:t>Здош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i=1                                   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Фдош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3A0F">
        <w:rPr>
          <w:rFonts w:ascii="Arial" w:hAnsi="Arial" w:cs="Arial"/>
          <w:sz w:val="24"/>
          <w:szCs w:val="24"/>
        </w:rPr>
        <w:t>дошкольныхобразовательных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учреждений,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Здош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дошкольных образовательных учреждений Московской области,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дошкольных образовательных учреждений.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случае</w:t>
      </w:r>
      <w:proofErr w:type="gramStart"/>
      <w:r w:rsidRPr="00693A0F">
        <w:rPr>
          <w:rFonts w:ascii="Arial" w:hAnsi="Arial" w:cs="Arial"/>
          <w:sz w:val="24"/>
          <w:szCs w:val="24"/>
        </w:rPr>
        <w:t>,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693A0F">
        <w:rPr>
          <w:rFonts w:ascii="Arial" w:hAnsi="Arial" w:cs="Arial"/>
          <w:sz w:val="24"/>
          <w:szCs w:val="24"/>
        </w:rPr>
        <w:t>Здош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693A0F">
        <w:rPr>
          <w:rFonts w:ascii="Arial" w:hAnsi="Arial" w:cs="Arial"/>
          <w:sz w:val="24"/>
          <w:szCs w:val="24"/>
        </w:rPr>
        <w:t>Здош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4)</w:t>
      </w:r>
      <w:r w:rsidRPr="00693A0F">
        <w:rPr>
          <w:rFonts w:ascii="Arial" w:hAnsi="Arial" w:cs="Arial"/>
          <w:sz w:val="24"/>
          <w:szCs w:val="24"/>
        </w:rPr>
        <w:tab/>
      </w:r>
      <w:proofErr w:type="spellStart"/>
      <w:r w:rsidRPr="00693A0F">
        <w:rPr>
          <w:rFonts w:ascii="Arial" w:hAnsi="Arial" w:cs="Arial"/>
          <w:sz w:val="24"/>
          <w:szCs w:val="24"/>
        </w:rPr>
        <w:t>Зсир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= (SUM </w:t>
      </w:r>
      <w:proofErr w:type="spellStart"/>
      <w:r w:rsidRPr="00693A0F">
        <w:rPr>
          <w:rFonts w:ascii="Arial" w:hAnsi="Arial" w:cs="Arial"/>
          <w:sz w:val="24"/>
          <w:szCs w:val="24"/>
        </w:rPr>
        <w:t>Фсир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693A0F">
        <w:rPr>
          <w:rFonts w:ascii="Arial" w:hAnsi="Arial" w:cs="Arial"/>
          <w:sz w:val="24"/>
          <w:szCs w:val="24"/>
        </w:rPr>
        <w:t>Зсир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i– фактическое значение фонда оплаты труда педагогических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образовательных </w:t>
      </w:r>
      <w:proofErr w:type="spellStart"/>
      <w:r w:rsidRPr="00693A0F">
        <w:rPr>
          <w:rFonts w:ascii="Arial" w:hAnsi="Arial" w:cs="Arial"/>
          <w:sz w:val="24"/>
          <w:szCs w:val="24"/>
        </w:rPr>
        <w:t>илимуниципальных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организаций, оказывающих социальные услуги детям-сиротам и детям, оставшимся без попечения родителей, бюджетной сферы;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Зсир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родителей, Московской области;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i = 1…n – общее количество педагогические работники муниципальных образовательных или 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ab/>
        <w:t xml:space="preserve">      n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 w:rsidRPr="00693A0F">
        <w:rPr>
          <w:rFonts w:ascii="Arial" w:hAnsi="Arial" w:cs="Arial"/>
          <w:sz w:val="24"/>
          <w:szCs w:val="24"/>
        </w:rPr>
        <w:t>SUM</w:t>
      </w:r>
      <w:proofErr w:type="gramEnd"/>
      <w:r w:rsidRPr="00693A0F">
        <w:rPr>
          <w:rFonts w:ascii="Arial" w:hAnsi="Arial" w:cs="Arial"/>
          <w:sz w:val="24"/>
          <w:szCs w:val="24"/>
        </w:rPr>
        <w:t>Фсиробр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 w:rsidRPr="00693A0F">
        <w:rPr>
          <w:rFonts w:ascii="Arial" w:hAnsi="Arial" w:cs="Arial"/>
          <w:sz w:val="24"/>
          <w:szCs w:val="24"/>
        </w:rPr>
        <w:t>SUMФсирпроч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, где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Фсиробр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- фонд оплаты труда педагогических работников муниципальных образовательных организаций, оказывающих социальные услуги детям-сиротам и детям, оставшимся без попечения родителей,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Фсирпроч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-фонд оплаты труда педагогических работников 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случае</w:t>
      </w:r>
      <w:proofErr w:type="gramStart"/>
      <w:r w:rsidRPr="00693A0F">
        <w:rPr>
          <w:rFonts w:ascii="Arial" w:hAnsi="Arial" w:cs="Arial"/>
          <w:sz w:val="24"/>
          <w:szCs w:val="24"/>
        </w:rPr>
        <w:t>,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693A0F">
        <w:rPr>
          <w:rFonts w:ascii="Arial" w:hAnsi="Arial" w:cs="Arial"/>
          <w:sz w:val="24"/>
          <w:szCs w:val="24"/>
        </w:rPr>
        <w:t>Зсир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693A0F">
        <w:rPr>
          <w:rFonts w:ascii="Arial" w:hAnsi="Arial" w:cs="Arial"/>
          <w:sz w:val="24"/>
          <w:szCs w:val="24"/>
        </w:rPr>
        <w:t>Зсир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ab/>
        <w:t xml:space="preserve">n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5) </w:t>
      </w:r>
      <w:proofErr w:type="spellStart"/>
      <w:r w:rsidRPr="00693A0F">
        <w:rPr>
          <w:rFonts w:ascii="Arial" w:hAnsi="Arial" w:cs="Arial"/>
          <w:sz w:val="24"/>
          <w:szCs w:val="24"/>
        </w:rPr>
        <w:t>Зкул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= (SUM </w:t>
      </w:r>
      <w:proofErr w:type="spellStart"/>
      <w:r w:rsidRPr="00693A0F">
        <w:rPr>
          <w:rFonts w:ascii="Arial" w:hAnsi="Arial" w:cs="Arial"/>
          <w:sz w:val="24"/>
          <w:szCs w:val="24"/>
        </w:rPr>
        <w:t>Фкул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 w:rsidRPr="00693A0F">
        <w:rPr>
          <w:rFonts w:ascii="Arial" w:hAnsi="Arial" w:cs="Arial"/>
          <w:sz w:val="24"/>
          <w:szCs w:val="24"/>
        </w:rPr>
        <w:t>Зкул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 х 100%,    где: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t>Фкул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учреждений культуры;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93A0F">
        <w:rPr>
          <w:rFonts w:ascii="Arial" w:hAnsi="Arial" w:cs="Arial"/>
          <w:sz w:val="24"/>
          <w:szCs w:val="24"/>
        </w:rPr>
        <w:lastRenderedPageBreak/>
        <w:t>Зкул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</w:t>
      </w:r>
      <w:proofErr w:type="spellStart"/>
      <w:r w:rsidRPr="00693A0F">
        <w:rPr>
          <w:rFonts w:ascii="Arial" w:hAnsi="Arial" w:cs="Arial"/>
          <w:sz w:val="24"/>
          <w:szCs w:val="24"/>
        </w:rPr>
        <w:t>работниковкультуры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Московской области;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i = 1…n – общее количество работников муниципальных учреждений культуры.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3A0F">
        <w:rPr>
          <w:rFonts w:ascii="Arial" w:hAnsi="Arial" w:cs="Arial"/>
          <w:sz w:val="24"/>
          <w:szCs w:val="24"/>
        </w:rPr>
        <w:t>В случае</w:t>
      </w:r>
      <w:proofErr w:type="gramStart"/>
      <w:r w:rsidRPr="00693A0F">
        <w:rPr>
          <w:rFonts w:ascii="Arial" w:hAnsi="Arial" w:cs="Arial"/>
          <w:sz w:val="24"/>
          <w:szCs w:val="24"/>
        </w:rPr>
        <w:t>,</w:t>
      </w:r>
      <w:proofErr w:type="gramEnd"/>
      <w:r w:rsidRPr="00693A0F"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 w:rsidRPr="00693A0F">
        <w:rPr>
          <w:rFonts w:ascii="Arial" w:hAnsi="Arial" w:cs="Arial"/>
          <w:sz w:val="24"/>
          <w:szCs w:val="24"/>
        </w:rPr>
        <w:t>Зкул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 w:rsidRPr="00693A0F">
        <w:rPr>
          <w:rFonts w:ascii="Arial" w:hAnsi="Arial" w:cs="Arial"/>
          <w:sz w:val="24"/>
          <w:szCs w:val="24"/>
        </w:rPr>
        <w:t>Зкул</w:t>
      </w:r>
      <w:proofErr w:type="spellEnd"/>
      <w:r w:rsidRPr="00693A0F">
        <w:rPr>
          <w:rFonts w:ascii="Arial" w:hAnsi="Arial" w:cs="Arial"/>
          <w:sz w:val="24"/>
          <w:szCs w:val="24"/>
        </w:rPr>
        <w:t xml:space="preserve"> считается равным 100%.</w:t>
      </w: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3A0F" w:rsidRPr="00693A0F" w:rsidRDefault="00693A0F" w:rsidP="00693A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0B4F" w:rsidRPr="00693A0F" w:rsidRDefault="004B0B4F">
      <w:pPr>
        <w:rPr>
          <w:sz w:val="24"/>
          <w:szCs w:val="24"/>
        </w:rPr>
      </w:pPr>
    </w:p>
    <w:sectPr w:rsidR="004B0B4F" w:rsidRPr="00693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9E1"/>
    <w:multiLevelType w:val="hybridMultilevel"/>
    <w:tmpl w:val="4E06A1DE"/>
    <w:lvl w:ilvl="0" w:tplc="02503158">
      <w:start w:val="1"/>
      <w:numFmt w:val="decimal"/>
      <w:lvlText w:val="%1."/>
      <w:lvlJc w:val="left"/>
      <w:pPr>
        <w:ind w:left="927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86E0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2AE4A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EAC6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AC23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D098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AC056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9E4A98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F761C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4F"/>
    <w:rsid w:val="004B0B4F"/>
    <w:rsid w:val="00693A0F"/>
    <w:rsid w:val="00F6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3A0F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rsid w:val="00693A0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rsid w:val="00693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7"/>
    <w:uiPriority w:val="34"/>
    <w:locked/>
    <w:rsid w:val="00693A0F"/>
  </w:style>
  <w:style w:type="paragraph" w:styleId="a7">
    <w:name w:val="List Paragraph"/>
    <w:basedOn w:val="a"/>
    <w:link w:val="a6"/>
    <w:uiPriority w:val="34"/>
    <w:qFormat/>
    <w:rsid w:val="00693A0F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693A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693A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693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693A0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693A0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693A0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693A0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693A0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693A0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693A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693A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table" w:styleId="a8">
    <w:name w:val="Table Grid"/>
    <w:basedOn w:val="a1"/>
    <w:uiPriority w:val="59"/>
    <w:rsid w:val="00693A0F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3A0F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rsid w:val="00693A0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rsid w:val="00693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7"/>
    <w:uiPriority w:val="34"/>
    <w:locked/>
    <w:rsid w:val="00693A0F"/>
  </w:style>
  <w:style w:type="paragraph" w:styleId="a7">
    <w:name w:val="List Paragraph"/>
    <w:basedOn w:val="a"/>
    <w:link w:val="a6"/>
    <w:uiPriority w:val="34"/>
    <w:qFormat/>
    <w:rsid w:val="00693A0F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Без интервала1"/>
    <w:rsid w:val="00693A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693A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693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693A0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693A0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693A0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693A0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693A0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693A0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693A0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693A0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693A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table" w:styleId="a8">
    <w:name w:val="Table Grid"/>
    <w:basedOn w:val="a1"/>
    <w:uiPriority w:val="59"/>
    <w:rsid w:val="00693A0F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isi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28</Pages>
  <Words>8770</Words>
  <Characters>49995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2019-01-15T10:56:00Z</dcterms:created>
  <dcterms:modified xsi:type="dcterms:W3CDTF">2019-01-15T11:19:00Z</dcterms:modified>
</cp:coreProperties>
</file>